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F94" w:rsidRDefault="00461F94" w:rsidP="00461F94">
      <w:pPr>
        <w:pStyle w:val="NormalWeb"/>
        <w:shd w:val="clear" w:color="auto" w:fill="FFFFFF"/>
        <w:spacing w:before="0" w:beforeAutospacing="0" w:after="0" w:afterAutospacing="0" w:line="432" w:lineRule="atLeast"/>
        <w:jc w:val="both"/>
        <w:textAlignment w:val="baseline"/>
        <w:rPr>
          <w:rFonts w:ascii="Arial" w:hAnsi="Arial" w:cs="Arial"/>
          <w:color w:val="000000"/>
          <w:sz w:val="21"/>
          <w:szCs w:val="21"/>
        </w:rPr>
      </w:pPr>
      <w:r>
        <w:rPr>
          <w:rFonts w:ascii="Arial" w:hAnsi="Arial" w:cs="Arial"/>
          <w:b/>
          <w:bCs/>
          <w:color w:val="000000"/>
          <w:sz w:val="21"/>
          <w:szCs w:val="21"/>
        </w:rPr>
        <w:t>P</w:t>
      </w:r>
      <w:bookmarkStart w:id="0" w:name="_GoBack"/>
      <w:bookmarkEnd w:id="0"/>
      <w:r>
        <w:rPr>
          <w:rFonts w:ascii="Arial" w:hAnsi="Arial" w:cs="Arial"/>
          <w:b/>
          <w:bCs/>
          <w:color w:val="000000"/>
          <w:sz w:val="21"/>
          <w:szCs w:val="21"/>
        </w:rPr>
        <w:t xml:space="preserve">aíses que Adotam a Convenção </w:t>
      </w:r>
      <w:proofErr w:type="spellStart"/>
      <w:r>
        <w:rPr>
          <w:rFonts w:ascii="Arial" w:hAnsi="Arial" w:cs="Arial"/>
          <w:b/>
          <w:bCs/>
          <w:color w:val="000000"/>
          <w:sz w:val="21"/>
          <w:szCs w:val="21"/>
        </w:rPr>
        <w:t>da</w:t>
      </w:r>
      <w:proofErr w:type="spellEnd"/>
      <w:r>
        <w:rPr>
          <w:rFonts w:ascii="Arial" w:hAnsi="Arial" w:cs="Arial"/>
          <w:b/>
          <w:bCs/>
          <w:color w:val="000000"/>
          <w:sz w:val="21"/>
          <w:szCs w:val="21"/>
        </w:rPr>
        <w:t xml:space="preserve"> Haia sobre Citação:</w:t>
      </w:r>
    </w:p>
    <w:p w:rsidR="00461F94" w:rsidRDefault="00461F94" w:rsidP="00461F94">
      <w:pPr>
        <w:pStyle w:val="NormalWeb"/>
        <w:shd w:val="clear" w:color="auto" w:fill="FFFFFF"/>
        <w:spacing w:before="0" w:beforeAutospacing="0" w:after="240" w:afterAutospacing="0" w:line="432" w:lineRule="atLeast"/>
        <w:jc w:val="both"/>
        <w:textAlignment w:val="baseline"/>
        <w:rPr>
          <w:rFonts w:ascii="Arial" w:hAnsi="Arial" w:cs="Arial"/>
          <w:color w:val="000000"/>
          <w:sz w:val="21"/>
          <w:szCs w:val="21"/>
        </w:rPr>
      </w:pPr>
      <w:r>
        <w:rPr>
          <w:rFonts w:ascii="Arial" w:hAnsi="Arial" w:cs="Arial"/>
          <w:color w:val="000000"/>
          <w:sz w:val="21"/>
          <w:szCs w:val="21"/>
        </w:rPr>
        <w:t>Albânia, Alemanha, Andorra, Antígua e Barbuda, Argentina, Armênia, Austrália, Bahamas, Barbados, Brasil, Belarus, Bélgica, Belize, Bósnia e Herzegovina, Botsuana, Bulgária, Canadá, Cazaquistão, China (inclusive Hong Kong e Macau), Chipre, Colômbia, Costa Rica, Coréia, Croácia, Dinamarca, Egito, Estados Unidos da América, Eslováquia, Eslovênia, Espanha,  Estônia, Finlândia, França, Grécia, Holanda, Hungria, Ilhas Seychelles, Índia, Irlanda, Islândia, Israel, Itália, Japão, Kuwait, Letônia, Lituânia, Luxemburgo, Macedônia, Malauí, Malta, Marrocos, México, Moldávia, Mônaco, Montenegro, Noruega, Paquistão, Polônia, Portugal, Reino Unido, República Tcheca, Romênia, Rússia, São Marino, São Vicente e Granadinas, Sérvia,  Sri Lanka, Suécia, Suíça, Tunísia, Turquia, Ucrânia, Venezuela e Vietnã. </w:t>
      </w:r>
    </w:p>
    <w:p w:rsidR="00632F0F" w:rsidRDefault="00632F0F"/>
    <w:sectPr w:rsidR="00632F0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F94"/>
    <w:rsid w:val="00461F94"/>
    <w:rsid w:val="00632F0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315FF"/>
  <w15:chartTrackingRefBased/>
  <w15:docId w15:val="{88164799-06A9-4CBB-9BBC-AC9998590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61F94"/>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5390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133</Words>
  <Characters>719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DGTEC</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Vinícius da Silva Bughi</dc:creator>
  <cp:keywords/>
  <dc:description/>
  <cp:lastModifiedBy>Marcus Vinícius da Silva Bughi</cp:lastModifiedBy>
  <cp:revision>1</cp:revision>
  <dcterms:created xsi:type="dcterms:W3CDTF">2019-05-09T16:19:00Z</dcterms:created>
  <dcterms:modified xsi:type="dcterms:W3CDTF">2019-05-09T16:20:00Z</dcterms:modified>
</cp:coreProperties>
</file>