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D23E5" w14:textId="14CFAE5C" w:rsidR="00B72105" w:rsidRDefault="0070732D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>
        <w:rPr>
          <w:rFonts w:cstheme="minorHAnsi"/>
          <w:color w:val="0070C0"/>
          <w:sz w:val="20"/>
          <w:szCs w:val="20"/>
        </w:rPr>
        <w:t>Observação</w:t>
      </w:r>
      <w:r w:rsidR="00B72105" w:rsidRPr="004765BD">
        <w:rPr>
          <w:rFonts w:cstheme="minorHAnsi"/>
          <w:color w:val="0070C0"/>
          <w:sz w:val="20"/>
          <w:szCs w:val="20"/>
        </w:rPr>
        <w:t xml:space="preserve">: </w:t>
      </w:r>
      <w:r w:rsidR="00063E9E" w:rsidRPr="004765BD">
        <w:rPr>
          <w:rFonts w:cstheme="minorHAnsi"/>
          <w:color w:val="0070C0"/>
          <w:sz w:val="20"/>
          <w:szCs w:val="20"/>
        </w:rPr>
        <w:t>Todos os itens receberam NOTAS EXPLICATIVAS, destacadas em AZUL, que têm por finalidade orientar a unidade requisitante no seu preenchimento, deve</w:t>
      </w:r>
      <w:r w:rsidR="00B845CB" w:rsidRPr="004765BD">
        <w:rPr>
          <w:rFonts w:cstheme="minorHAnsi"/>
          <w:color w:val="0070C0"/>
          <w:sz w:val="20"/>
          <w:szCs w:val="20"/>
        </w:rPr>
        <w:t xml:space="preserve">ndo ser devidamente suprimidas por ocasião da </w:t>
      </w:r>
      <w:r w:rsidR="00063E9E" w:rsidRPr="004765BD">
        <w:rPr>
          <w:rFonts w:cstheme="minorHAnsi"/>
          <w:color w:val="0070C0"/>
          <w:sz w:val="20"/>
          <w:szCs w:val="20"/>
        </w:rPr>
        <w:t>elabor</w:t>
      </w:r>
      <w:r w:rsidR="00B845CB" w:rsidRPr="004765BD">
        <w:rPr>
          <w:rFonts w:cstheme="minorHAnsi"/>
          <w:color w:val="0070C0"/>
          <w:sz w:val="20"/>
          <w:szCs w:val="20"/>
        </w:rPr>
        <w:t>ação do documento - ETP. O texto na cor PRETA constante do item XIII e o quadro subsequente deverão ser mantidos e devidamente preenchidos.</w:t>
      </w:r>
    </w:p>
    <w:p w14:paraId="71ECBF30" w14:textId="7DF6E32E" w:rsidR="00FC7469" w:rsidRPr="00774A19" w:rsidRDefault="00FC7469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I – DESCRIÇÃO DA NECESSIDADE DA </w:t>
      </w:r>
      <w:r w:rsidR="00362D6A">
        <w:rPr>
          <w:rFonts w:eastAsia="Times New Roman" w:cstheme="minorHAnsi"/>
          <w:b/>
          <w:sz w:val="24"/>
          <w:szCs w:val="24"/>
          <w:lang w:eastAsia="pt-BR"/>
        </w:rPr>
        <w:t>OBRA</w:t>
      </w:r>
    </w:p>
    <w:p w14:paraId="5C963168" w14:textId="63875646" w:rsidR="002075ED" w:rsidRDefault="002075ED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5A05B2B7" w14:textId="7E60BA76" w:rsidR="004F0F0A" w:rsidRPr="004F0F0A" w:rsidRDefault="004F0F0A" w:rsidP="00025840">
      <w:pPr>
        <w:pStyle w:val="PargrafodaLista"/>
        <w:numPr>
          <w:ilvl w:val="0"/>
          <w:numId w:val="10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4F0F0A">
        <w:rPr>
          <w:rFonts w:cstheme="minorHAnsi"/>
          <w:color w:val="00B0F0"/>
          <w:sz w:val="24"/>
          <w:szCs w:val="24"/>
        </w:rPr>
        <w:t>Motivação</w:t>
      </w:r>
    </w:p>
    <w:p w14:paraId="4A784617" w14:textId="39692288" w:rsidR="004F0F0A" w:rsidRPr="004F0F0A" w:rsidRDefault="004F0F0A" w:rsidP="00025840">
      <w:pPr>
        <w:pStyle w:val="PargrafodaLista"/>
        <w:numPr>
          <w:ilvl w:val="0"/>
          <w:numId w:val="10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4F0F0A">
        <w:rPr>
          <w:rFonts w:cstheme="minorHAnsi"/>
          <w:color w:val="00B0F0"/>
          <w:sz w:val="24"/>
          <w:szCs w:val="24"/>
        </w:rPr>
        <w:t>Objetivo</w:t>
      </w:r>
    </w:p>
    <w:p w14:paraId="115E95D9" w14:textId="5D6AF446" w:rsidR="004F0F0A" w:rsidRDefault="004F0F0A" w:rsidP="00025840">
      <w:pPr>
        <w:pStyle w:val="PargrafodaLista"/>
        <w:numPr>
          <w:ilvl w:val="0"/>
          <w:numId w:val="10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4F0F0A">
        <w:rPr>
          <w:rFonts w:cstheme="minorHAnsi"/>
          <w:color w:val="00B0F0"/>
          <w:sz w:val="24"/>
          <w:szCs w:val="24"/>
        </w:rPr>
        <w:t>Alinhamento com o planejamento estratégico da SGLOG</w:t>
      </w:r>
    </w:p>
    <w:p w14:paraId="6B2A0502" w14:textId="35952834" w:rsidR="00B9344A" w:rsidRPr="00980B02" w:rsidRDefault="00980B02" w:rsidP="00025840">
      <w:pPr>
        <w:pStyle w:val="PargrafodaLista"/>
        <w:numPr>
          <w:ilvl w:val="0"/>
          <w:numId w:val="10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Natureza especial do serviço</w:t>
      </w:r>
    </w:p>
    <w:p w14:paraId="2A16F266" w14:textId="507CBE1D" w:rsidR="00FC7469" w:rsidRPr="004765BD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A unidade requisitante deve descrever a necessidade da contratação, considerado o problema a ser resolvido sob a perspectiva do interesse público, conforme disposto no inciso I do § 1° do art. 18 da Lei 14.133/2021 e no inciso I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3A289506" w14:textId="7CB2ADCE" w:rsidR="00FC7469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Preenchimento obrigatório - § 2° do art. 18 da Lei 14.133/2021. </w:t>
      </w:r>
    </w:p>
    <w:p w14:paraId="42CC611C" w14:textId="277EE159" w:rsidR="00FC7469" w:rsidRPr="00774A19" w:rsidRDefault="00FC7469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II – PREVISÃO NO PLANO</w:t>
      </w:r>
      <w:r w:rsidR="006D41BC">
        <w:rPr>
          <w:rFonts w:eastAsia="Times New Roman" w:cstheme="minorHAnsi"/>
          <w:b/>
          <w:sz w:val="24"/>
          <w:szCs w:val="24"/>
          <w:lang w:eastAsia="pt-BR"/>
        </w:rPr>
        <w:t xml:space="preserve"> DE </w:t>
      </w:r>
      <w:r w:rsidR="006D41BC" w:rsidRPr="00FC7469">
        <w:rPr>
          <w:rFonts w:eastAsia="Times New Roman" w:cstheme="minorHAnsi"/>
          <w:b/>
          <w:sz w:val="24"/>
          <w:szCs w:val="24"/>
          <w:lang w:eastAsia="pt-BR"/>
        </w:rPr>
        <w:t>CONTRATAÇÕES</w:t>
      </w: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 ANUAL (P</w:t>
      </w:r>
      <w:r w:rsidR="006D41BC">
        <w:rPr>
          <w:rFonts w:eastAsia="Times New Roman" w:cstheme="minorHAnsi"/>
          <w:b/>
          <w:sz w:val="24"/>
          <w:szCs w:val="24"/>
          <w:lang w:eastAsia="pt-BR"/>
        </w:rPr>
        <w:t>CA)</w:t>
      </w:r>
    </w:p>
    <w:p w14:paraId="396A75E1" w14:textId="327BB6E7" w:rsidR="002075ED" w:rsidRPr="002075ED" w:rsidRDefault="002075ED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</w:t>
      </w:r>
      <w:r w:rsidRPr="00980B02">
        <w:rPr>
          <w:rFonts w:cstheme="minorHAnsi"/>
          <w:color w:val="00B0F0"/>
          <w:sz w:val="24"/>
          <w:szCs w:val="24"/>
        </w:rPr>
        <w:t>...</w:t>
      </w:r>
      <w:r w:rsidR="00B9344A" w:rsidRPr="00980B02">
        <w:rPr>
          <w:rFonts w:cstheme="minorHAnsi"/>
          <w:color w:val="00B0F0"/>
          <w:sz w:val="24"/>
          <w:szCs w:val="24"/>
        </w:rPr>
        <w:t>* SE FOR O CASO</w:t>
      </w:r>
    </w:p>
    <w:p w14:paraId="2FBC6B80" w14:textId="132887B5" w:rsidR="00FC7469" w:rsidRPr="004765BD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Demonstrar a previsão da contratação no Plano</w:t>
      </w:r>
      <w:r w:rsidR="00CE431B">
        <w:rPr>
          <w:rFonts w:cstheme="minorHAnsi"/>
          <w:color w:val="0070C0"/>
          <w:sz w:val="20"/>
          <w:szCs w:val="20"/>
        </w:rPr>
        <w:t xml:space="preserve"> de </w:t>
      </w:r>
      <w:r w:rsidR="00CE431B" w:rsidRPr="004765BD">
        <w:rPr>
          <w:rFonts w:cstheme="minorHAnsi"/>
          <w:color w:val="0070C0"/>
          <w:sz w:val="20"/>
          <w:szCs w:val="20"/>
        </w:rPr>
        <w:t>Contratações</w:t>
      </w:r>
      <w:r w:rsidRPr="004765BD">
        <w:rPr>
          <w:rFonts w:cstheme="minorHAnsi"/>
          <w:color w:val="0070C0"/>
          <w:sz w:val="20"/>
          <w:szCs w:val="20"/>
        </w:rPr>
        <w:t xml:space="preserve"> Anual, de modo a indicar o seu alinhamento com o instrumento de planejamento do órgão ou entidade, conforme disposto no inciso II do § 1° do art. 18 da Lei 14.133/2021 e no inciso IX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59793DAE" w14:textId="601B8066" w:rsidR="00FC7469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1B4027A9" w14:textId="14EAE354" w:rsidR="00FC7469" w:rsidRPr="00CE431B" w:rsidRDefault="00FC7469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III – REQUISITOS DA CONTRATAÇÃO  </w:t>
      </w:r>
    </w:p>
    <w:p w14:paraId="4D8B075F" w14:textId="75AFD0CA" w:rsidR="00B9344A" w:rsidRPr="00980B02" w:rsidRDefault="00B9344A" w:rsidP="00025840">
      <w:pPr>
        <w:pStyle w:val="PargrafodaLista"/>
        <w:numPr>
          <w:ilvl w:val="0"/>
          <w:numId w:val="14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 xml:space="preserve">Tipo de licitação; menor preço </w:t>
      </w:r>
      <w:r w:rsidR="00987866" w:rsidRPr="00980B02">
        <w:rPr>
          <w:rFonts w:cstheme="minorHAnsi"/>
          <w:color w:val="00B0F0"/>
          <w:sz w:val="24"/>
          <w:szCs w:val="24"/>
        </w:rPr>
        <w:t>/ maior</w:t>
      </w:r>
      <w:r w:rsidRPr="00980B02">
        <w:rPr>
          <w:rFonts w:cstheme="minorHAnsi"/>
          <w:color w:val="00B0F0"/>
          <w:sz w:val="24"/>
          <w:szCs w:val="24"/>
        </w:rPr>
        <w:t xml:space="preserve"> desconto</w:t>
      </w:r>
    </w:p>
    <w:p w14:paraId="0E31EE50" w14:textId="7FDC90A9" w:rsidR="00B9344A" w:rsidRPr="00980B02" w:rsidRDefault="00B9344A" w:rsidP="00025840">
      <w:pPr>
        <w:pStyle w:val="PargrafodaLista"/>
        <w:numPr>
          <w:ilvl w:val="0"/>
          <w:numId w:val="14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Regime de execução</w:t>
      </w:r>
    </w:p>
    <w:p w14:paraId="4BA697C2" w14:textId="48607C80" w:rsidR="00B9344A" w:rsidRPr="00980B02" w:rsidRDefault="00B9344A" w:rsidP="00025840">
      <w:pPr>
        <w:pStyle w:val="PargrafodaLista"/>
        <w:numPr>
          <w:ilvl w:val="0"/>
          <w:numId w:val="14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 xml:space="preserve">Será elaborado Projeto </w:t>
      </w:r>
      <w:r w:rsidR="00987866" w:rsidRPr="00980B02">
        <w:rPr>
          <w:rFonts w:cstheme="minorHAnsi"/>
          <w:color w:val="00B0F0"/>
          <w:sz w:val="24"/>
          <w:szCs w:val="24"/>
        </w:rPr>
        <w:t>Básico</w:t>
      </w:r>
      <w:r w:rsidRPr="00980B02">
        <w:rPr>
          <w:rFonts w:cstheme="minorHAnsi"/>
          <w:color w:val="00B0F0"/>
          <w:sz w:val="24"/>
          <w:szCs w:val="24"/>
        </w:rPr>
        <w:t>/</w:t>
      </w:r>
      <w:r w:rsidR="00987866" w:rsidRPr="00980B02">
        <w:rPr>
          <w:rFonts w:cstheme="minorHAnsi"/>
          <w:color w:val="00B0F0"/>
          <w:sz w:val="24"/>
          <w:szCs w:val="24"/>
        </w:rPr>
        <w:t>Executivo ou</w:t>
      </w:r>
      <w:r w:rsidRPr="00980B02">
        <w:rPr>
          <w:rFonts w:cstheme="minorHAnsi"/>
          <w:color w:val="00B0F0"/>
          <w:sz w:val="24"/>
          <w:szCs w:val="24"/>
        </w:rPr>
        <w:t xml:space="preserve"> Termo de Referência</w:t>
      </w:r>
    </w:p>
    <w:p w14:paraId="77EC60B5" w14:textId="79C4FC89" w:rsidR="00B9344A" w:rsidRPr="00980B02" w:rsidRDefault="0099671D" w:rsidP="00025840">
      <w:pPr>
        <w:pStyle w:val="PargrafodaLista"/>
        <w:numPr>
          <w:ilvl w:val="0"/>
          <w:numId w:val="14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Prazos: de execução do objeto e do contrato</w:t>
      </w:r>
    </w:p>
    <w:p w14:paraId="151908BD" w14:textId="0249EC68" w:rsidR="0099671D" w:rsidRPr="00980B02" w:rsidRDefault="0099671D" w:rsidP="00025840">
      <w:pPr>
        <w:pStyle w:val="PargrafodaLista"/>
        <w:numPr>
          <w:ilvl w:val="0"/>
          <w:numId w:val="14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Critérios de aceitabilidade/exequibilidade</w:t>
      </w:r>
    </w:p>
    <w:p w14:paraId="2CC0E46E" w14:textId="4EEB413F" w:rsidR="0099671D" w:rsidRPr="00980B02" w:rsidRDefault="0099671D" w:rsidP="00025840">
      <w:pPr>
        <w:tabs>
          <w:tab w:val="left" w:pos="10206"/>
          <w:tab w:val="left" w:pos="10348"/>
        </w:tabs>
        <w:spacing w:before="120" w:after="120" w:line="360" w:lineRule="auto"/>
        <w:ind w:left="1418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Todos os requisitos adicionais à contratação serão previstos pelo Departamento de Engenharia – DEENG, no Caderno de Encargos.</w:t>
      </w:r>
    </w:p>
    <w:p w14:paraId="3E4B3E1A" w14:textId="266FF0C3" w:rsidR="00FC7469" w:rsidRPr="00CE431B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lastRenderedPageBreak/>
        <w:t>Nota Explicativa 1: Descrição dos requisitos da contratação necessários e suficientes à escolha da solução, prevendo critérios e práticas de sustentabilidade, observadas as leis ou regulamentações específicas, bem como padrões mínimos de qualidade e desempenho, conforme disposto no inciso II do art. 9º da IN SEGES nº 58/2022. Assim, a unidade requisitante deverá:</w:t>
      </w:r>
    </w:p>
    <w:p w14:paraId="679A35EC" w14:textId="77777777" w:rsidR="00FC7469" w:rsidRPr="00CE431B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Descrever os requisitos essenciais à contratação com objetivo ao atendimento da necessidade especificada, abstendo-se de relacionar requisitos desnecessários e especificações demasiadas, para não frustrar o caráter competitivo da licitação;</w:t>
      </w:r>
    </w:p>
    <w:p w14:paraId="22138DB5" w14:textId="77777777" w:rsidR="00FC7469" w:rsidRPr="00CE431B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analisar e listar, se for o caso, os normativos que disciplinam os serviços a serem contratados, de acordo com sua natureza;</w:t>
      </w:r>
    </w:p>
    <w:p w14:paraId="45606475" w14:textId="7D5DDB0E" w:rsidR="00FC7469" w:rsidRPr="00CE431B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destacar, se for o caso, os critérios e práticas de sustentabilidade aplicáveis à contratação pretendida.</w:t>
      </w:r>
    </w:p>
    <w:p w14:paraId="2EEBEA29" w14:textId="1F80FF40" w:rsidR="00FC7469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E431B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5875C3DC" w14:textId="3FB3387D" w:rsidR="00FC7469" w:rsidRPr="00CE431B" w:rsidRDefault="00CE431B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IV - DIMENSIONAMENTO</w:t>
      </w:r>
    </w:p>
    <w:p w14:paraId="725C8E7F" w14:textId="4D8EE5B1" w:rsidR="00CB2432" w:rsidRPr="00980B02" w:rsidRDefault="00B9344A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Volume do serviço relacionado com a contratação</w:t>
      </w:r>
    </w:p>
    <w:p w14:paraId="3E189443" w14:textId="195A7CB7" w:rsidR="00B9344A" w:rsidRPr="00980B02" w:rsidRDefault="00987866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p.ex.</w:t>
      </w:r>
      <w:r w:rsidR="00B9344A" w:rsidRPr="00980B02">
        <w:rPr>
          <w:rFonts w:cstheme="minorHAnsi"/>
          <w:color w:val="00B0F0"/>
          <w:sz w:val="24"/>
          <w:szCs w:val="24"/>
        </w:rPr>
        <w:t>;</w:t>
      </w:r>
    </w:p>
    <w:p w14:paraId="7E0E92B6" w14:textId="1164D7F0" w:rsidR="00B9344A" w:rsidRPr="00980B02" w:rsidRDefault="00B9344A" w:rsidP="00025840">
      <w:pPr>
        <w:pStyle w:val="PargrafodaLista"/>
        <w:numPr>
          <w:ilvl w:val="0"/>
          <w:numId w:val="13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p/ sondagem: X m de furos de SPT e Y m de rotativa</w:t>
      </w:r>
    </w:p>
    <w:p w14:paraId="79E9DA57" w14:textId="2CB58871" w:rsidR="00B9344A" w:rsidRPr="00980B02" w:rsidRDefault="00B9344A" w:rsidP="00025840">
      <w:pPr>
        <w:pStyle w:val="PargrafodaLista"/>
        <w:numPr>
          <w:ilvl w:val="0"/>
          <w:numId w:val="13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p/ consultoria: X relatórios para avaliação da terraplenagem com volumetria de Zm³ a ser executada em CCCCC.</w:t>
      </w:r>
    </w:p>
    <w:p w14:paraId="2CEB53DD" w14:textId="28954FEF" w:rsidR="00FC7469" w:rsidRPr="004765BD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Informar a estimativa das quantidades a serem contratadas, acompanhada das memórias de cálculo e dos documentos que lhe dão suporte, considerando a interdependência com outras contratações, de modo a possibilitar economia de escala, conforme disposto no inciso IV do § 1° do art. 18 da Lei 14.133/2021 e no inciso V do art. 9º da IN SEGES nº 58/2022</w:t>
      </w:r>
      <w:r w:rsidR="00774A19" w:rsidRPr="004765BD">
        <w:rPr>
          <w:rFonts w:cstheme="minorHAnsi"/>
          <w:color w:val="0070C0"/>
          <w:sz w:val="20"/>
          <w:szCs w:val="20"/>
        </w:rPr>
        <w:t>.</w:t>
      </w:r>
    </w:p>
    <w:p w14:paraId="69F8565B" w14:textId="4B402FFE" w:rsidR="00FC7469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obrigatório - § 2° do art. 18 da Lei 14.133/2021.</w:t>
      </w:r>
    </w:p>
    <w:p w14:paraId="04EC2D3A" w14:textId="0407B18B" w:rsidR="00FC7469" w:rsidRPr="00774A19" w:rsidRDefault="00FC7469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 - LEVANTAMENTO DE MERCADO </w:t>
      </w:r>
    </w:p>
    <w:p w14:paraId="022D7F0E" w14:textId="7EF8FA00" w:rsidR="002075ED" w:rsidRDefault="002075ED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05528ECF" w14:textId="395B9001" w:rsidR="0070732D" w:rsidRDefault="0070732D" w:rsidP="00025840">
      <w:pPr>
        <w:pStyle w:val="PargrafodaLista"/>
        <w:numPr>
          <w:ilvl w:val="0"/>
          <w:numId w:val="10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color w:val="00B0F0"/>
          <w:sz w:val="24"/>
          <w:szCs w:val="24"/>
        </w:rPr>
        <w:t>Alternativas e escolhas</w:t>
      </w:r>
    </w:p>
    <w:p w14:paraId="08B04C3C" w14:textId="13F3E4D4" w:rsidR="0070732D" w:rsidRDefault="0070732D" w:rsidP="00025840">
      <w:pPr>
        <w:pStyle w:val="PargrafodaLista"/>
        <w:numPr>
          <w:ilvl w:val="0"/>
          <w:numId w:val="10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proofErr w:type="spellStart"/>
      <w:r>
        <w:rPr>
          <w:rFonts w:cstheme="minorHAnsi"/>
          <w:color w:val="00B0F0"/>
          <w:sz w:val="24"/>
          <w:szCs w:val="24"/>
        </w:rPr>
        <w:t>Sinapi</w:t>
      </w:r>
      <w:proofErr w:type="spellEnd"/>
      <w:r>
        <w:rPr>
          <w:rFonts w:cstheme="minorHAnsi"/>
          <w:color w:val="00B0F0"/>
          <w:sz w:val="24"/>
          <w:szCs w:val="24"/>
        </w:rPr>
        <w:t xml:space="preserve"> &amp; outros bancos de dados como referência de mercado</w:t>
      </w:r>
    </w:p>
    <w:p w14:paraId="4C580726" w14:textId="1BAB0B05" w:rsidR="0070732D" w:rsidRDefault="0070732D" w:rsidP="00025840">
      <w:pPr>
        <w:pStyle w:val="PargrafodaLista"/>
        <w:numPr>
          <w:ilvl w:val="0"/>
          <w:numId w:val="10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color w:val="00B0F0"/>
          <w:sz w:val="24"/>
          <w:szCs w:val="24"/>
        </w:rPr>
        <w:t>Para os itens não constantes nestes bancos de dados, foi feita pesquisa de mercado.</w:t>
      </w:r>
    </w:p>
    <w:p w14:paraId="738FB06E" w14:textId="4F6FC0A0" w:rsidR="00FC7469" w:rsidRPr="004765BD" w:rsidRDefault="00FC7469" w:rsidP="00025840">
      <w:pPr>
        <w:pStyle w:val="dou-paragraph"/>
        <w:shd w:val="clear" w:color="auto" w:fill="FFFFFF"/>
        <w:tabs>
          <w:tab w:val="left" w:pos="10348"/>
        </w:tabs>
        <w:spacing w:before="120" w:beforeAutospacing="0" w:after="120" w:afterAutospacing="0" w:line="360" w:lineRule="auto"/>
        <w:ind w:left="56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Nota Explicativa 1: O Levantamento de mercado consiste na análise das alternativas possíveis e justificativa técnica e econômica da escolha do tipo de solução a contratar, conforme disposto no inciso V do § 1° do art. 18 da Lei 14.133/2021. Assi</w:t>
      </w:r>
      <w:r w:rsid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m, a unidade requisitante deve:</w:t>
      </w:r>
    </w:p>
    <w:p w14:paraId="6A706C29" w14:textId="77777777" w:rsidR="00FC7469" w:rsidRPr="004765BD" w:rsidRDefault="00FC7469" w:rsidP="00025840">
      <w:pPr>
        <w:pStyle w:val="dou-paragraph"/>
        <w:numPr>
          <w:ilvl w:val="0"/>
          <w:numId w:val="18"/>
        </w:numPr>
        <w:shd w:val="clear" w:color="auto" w:fill="FFFFFF"/>
        <w:tabs>
          <w:tab w:val="left" w:pos="709"/>
          <w:tab w:val="left" w:pos="10348"/>
        </w:tabs>
        <w:spacing w:before="120" w:beforeAutospacing="0" w:after="120" w:afterAutospacing="0" w:line="360" w:lineRule="auto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Pesquisar e, se for o caso, indicar as diferentes soluções existentes no mercado e que podem atender à necessidade levantada.</w:t>
      </w:r>
    </w:p>
    <w:p w14:paraId="75F25900" w14:textId="77777777" w:rsidR="00FC7469" w:rsidRPr="004765BD" w:rsidRDefault="00FC7469" w:rsidP="00025840">
      <w:pPr>
        <w:pStyle w:val="dou-paragraph"/>
        <w:shd w:val="clear" w:color="auto" w:fill="FFFFFF"/>
        <w:tabs>
          <w:tab w:val="left" w:pos="709"/>
          <w:tab w:val="left" w:pos="10348"/>
        </w:tabs>
        <w:spacing w:before="120" w:beforeAutospacing="0" w:after="120" w:afterAutospacing="0" w:line="360" w:lineRule="auto"/>
        <w:ind w:left="56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Solução 1 – Descrição completa e Preço Estimado</w:t>
      </w:r>
    </w:p>
    <w:p w14:paraId="6D4D5BB8" w14:textId="77777777" w:rsidR="00FC7469" w:rsidRPr="004765BD" w:rsidRDefault="00FC7469" w:rsidP="00025840">
      <w:pPr>
        <w:pStyle w:val="dou-paragraph"/>
        <w:shd w:val="clear" w:color="auto" w:fill="FFFFFF"/>
        <w:tabs>
          <w:tab w:val="left" w:pos="709"/>
          <w:tab w:val="left" w:pos="10348"/>
        </w:tabs>
        <w:spacing w:before="120" w:beforeAutospacing="0" w:after="120" w:afterAutospacing="0" w:line="360" w:lineRule="auto"/>
        <w:ind w:left="567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lastRenderedPageBreak/>
        <w:t>Solução 2 – Descrição completa e Preço Estimado</w:t>
      </w:r>
    </w:p>
    <w:p w14:paraId="4BC49276" w14:textId="77777777" w:rsidR="00FC7469" w:rsidRPr="004765BD" w:rsidRDefault="00FC7469" w:rsidP="00025840">
      <w:pPr>
        <w:pStyle w:val="dou-paragraph"/>
        <w:numPr>
          <w:ilvl w:val="0"/>
          <w:numId w:val="18"/>
        </w:numPr>
        <w:shd w:val="clear" w:color="auto" w:fill="FFFFFF"/>
        <w:tabs>
          <w:tab w:val="left" w:pos="709"/>
          <w:tab w:val="left" w:pos="10348"/>
        </w:tabs>
        <w:spacing w:before="120" w:beforeAutospacing="0" w:after="120" w:afterAutospacing="0" w:line="360" w:lineRule="auto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Fazer uma comparação entre as soluções encontradas no mercado para mostrar, de forma objetiva, qual delas é a mais vantajosa para a Administração sob os aspectos da conveniência, economicidade e eficiência (Acórdãos TCU 2383/2014 e 214/2020-Plenário).</w:t>
      </w:r>
    </w:p>
    <w:p w14:paraId="4F339301" w14:textId="77777777" w:rsidR="00FC7469" w:rsidRPr="004765BD" w:rsidRDefault="00FC7469" w:rsidP="00025840">
      <w:pPr>
        <w:pStyle w:val="dou-paragraph"/>
        <w:numPr>
          <w:ilvl w:val="0"/>
          <w:numId w:val="18"/>
        </w:numPr>
        <w:shd w:val="clear" w:color="auto" w:fill="FFFFFF"/>
        <w:tabs>
          <w:tab w:val="left" w:pos="709"/>
          <w:tab w:val="left" w:pos="10348"/>
        </w:tabs>
        <w:spacing w:before="120" w:beforeAutospacing="0" w:after="120" w:afterAutospacing="0" w:line="360" w:lineRule="auto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 xml:space="preserve">A comparação deve considerar os custos e benefícios durante o ciclo de vida do objeto (melhor relação custo-benefício), quando houver a opção de compra ou locação de bens, em observância ao disposto no art. 44 da Lei 14.133/21. </w:t>
      </w:r>
    </w:p>
    <w:p w14:paraId="089B7AEA" w14:textId="77777777" w:rsidR="00FC7469" w:rsidRPr="004765BD" w:rsidRDefault="00FC7469" w:rsidP="00025840">
      <w:pPr>
        <w:pStyle w:val="dou-paragraph"/>
        <w:numPr>
          <w:ilvl w:val="0"/>
          <w:numId w:val="18"/>
        </w:numPr>
        <w:shd w:val="clear" w:color="auto" w:fill="FFFFFF"/>
        <w:tabs>
          <w:tab w:val="left" w:pos="709"/>
          <w:tab w:val="left" w:pos="10348"/>
        </w:tabs>
        <w:spacing w:before="120" w:beforeAutospacing="0" w:after="120" w:afterAutospacing="0" w:line="360" w:lineRule="auto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A teor do disposto no inciso III do art. 9º da IN SEGES nº 58/2022, na prospecção e análise das alternativas possíveis de soluções, a unidade requisitante pode, dentre outras opções:</w:t>
      </w:r>
    </w:p>
    <w:p w14:paraId="4FC7058D" w14:textId="3D707A81" w:rsidR="00FC7469" w:rsidRPr="004765BD" w:rsidRDefault="00025840" w:rsidP="00025840">
      <w:pPr>
        <w:pStyle w:val="dou-paragraph"/>
        <w:shd w:val="clear" w:color="auto" w:fill="FFFFFF"/>
        <w:tabs>
          <w:tab w:val="left" w:pos="10348"/>
        </w:tabs>
        <w:spacing w:before="120" w:beforeAutospacing="0" w:after="120" w:afterAutospacing="0" w:line="360" w:lineRule="auto"/>
        <w:ind w:left="1701" w:hanging="28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d¹</w:t>
      </w:r>
      <w:r w:rsidR="00FC7469"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) considerar contratações similares feitas por outros órgãos e entidades, com objetivo de identificar a existência de novas metodologias, tecnologias ou inovações que melhor atendam às necessidades da administração;</w:t>
      </w:r>
    </w:p>
    <w:p w14:paraId="212CC1F3" w14:textId="3653C1BB" w:rsidR="00FC7469" w:rsidRPr="004765BD" w:rsidRDefault="00FC7469" w:rsidP="00025840">
      <w:pPr>
        <w:pStyle w:val="dou-paragraph"/>
        <w:shd w:val="clear" w:color="auto" w:fill="FFFFFF"/>
        <w:tabs>
          <w:tab w:val="left" w:pos="10348"/>
        </w:tabs>
        <w:spacing w:before="120" w:beforeAutospacing="0" w:after="120" w:afterAutospacing="0" w:line="360" w:lineRule="auto"/>
        <w:ind w:left="1701" w:hanging="28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</w:t>
      </w:r>
      <w:r w:rsidR="00025840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²</w:t>
      </w: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) realizar, se for o caso, consulta, audiência pública ou diálogo transparente com potenciais contratadas, para coleta de contribuições; e</w:t>
      </w:r>
    </w:p>
    <w:p w14:paraId="4D1944F1" w14:textId="2B2E2EEF" w:rsidR="00FC7469" w:rsidRPr="004765BD" w:rsidRDefault="00FC7469" w:rsidP="00025840">
      <w:pPr>
        <w:pStyle w:val="dou-paragraph"/>
        <w:shd w:val="clear" w:color="auto" w:fill="FFFFFF"/>
        <w:tabs>
          <w:tab w:val="left" w:pos="10348"/>
        </w:tabs>
        <w:spacing w:before="120" w:beforeAutospacing="0" w:after="120" w:afterAutospacing="0" w:line="360" w:lineRule="auto"/>
        <w:ind w:left="1701" w:hanging="283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d</w:t>
      </w:r>
      <w:r w:rsidR="00025840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³</w:t>
      </w: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) considerar outras opções logísticas menos onerosas à Administração, tais como chamamentos públicos de doação e permutas.</w:t>
      </w:r>
    </w:p>
    <w:p w14:paraId="2F6B6C8A" w14:textId="0ECBCFAC" w:rsidR="00FC7469" w:rsidRPr="004765BD" w:rsidRDefault="00FC7469" w:rsidP="00025840">
      <w:pPr>
        <w:pStyle w:val="dou-paragraph"/>
        <w:numPr>
          <w:ilvl w:val="0"/>
          <w:numId w:val="18"/>
        </w:numPr>
        <w:shd w:val="clear" w:color="auto" w:fill="FFFFFF"/>
        <w:tabs>
          <w:tab w:val="left" w:pos="709"/>
          <w:tab w:val="left" w:pos="10348"/>
        </w:tabs>
        <w:spacing w:before="120" w:beforeAutospacing="0" w:after="120" w:afterAutospacing="0" w:line="360" w:lineRule="auto"/>
        <w:jc w:val="both"/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</w:pPr>
      <w:r w:rsidRPr="004765BD">
        <w:rPr>
          <w:rFonts w:asciiTheme="minorHAnsi" w:eastAsiaTheme="minorHAnsi" w:hAnsiTheme="minorHAnsi" w:cstheme="minorHAnsi"/>
          <w:color w:val="0070C0"/>
          <w:sz w:val="20"/>
          <w:szCs w:val="20"/>
          <w:lang w:eastAsia="en-US"/>
        </w:rPr>
        <w:t>Analisar a contratação anterior, ou a série histórica, se houver, para identificar as inconsistências ocorridas nas fases do Planejamento da Contratação, Seleção do Fornecedor e Gestão do Contrato, com a finalidade de prevenir a ocorrência dessas nos ulteriores Termos de Referência ou Projetos Básicos.</w:t>
      </w:r>
    </w:p>
    <w:p w14:paraId="0EA35773" w14:textId="3716E7FF" w:rsidR="00FC7469" w:rsidRPr="004765BD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Caso, após o levantamento do mercado, a quantidade de fornecedores for considerada restrita, deve-se verificar se os requisitos que limitam a participação são realmente indispensáveis, flexibilizando-os sempre que possível, conforme disposto no art. 9º, §2º, da IN SEGES nº 58/2022.</w:t>
      </w:r>
    </w:p>
    <w:p w14:paraId="1FF76BC8" w14:textId="0029D1FF" w:rsidR="00FC7469" w:rsidRDefault="00FC7469" w:rsidP="00025840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facultativo, mediante justificativa - § 2° do art. 18 da Lei 14.133/2021.</w:t>
      </w:r>
    </w:p>
    <w:p w14:paraId="6B223D91" w14:textId="156EB18F" w:rsidR="00FC7469" w:rsidRPr="00CE431B" w:rsidRDefault="00FC7469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VI </w:t>
      </w:r>
      <w:r w:rsidR="008A4A1B">
        <w:rPr>
          <w:rFonts w:eastAsia="Times New Roman" w:cstheme="minorHAnsi"/>
          <w:b/>
          <w:sz w:val="24"/>
          <w:szCs w:val="24"/>
          <w:lang w:eastAsia="pt-BR"/>
        </w:rPr>
        <w:t>–</w:t>
      </w: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ESTIMATIVA</w:t>
      </w:r>
      <w:r w:rsidR="008A4A1B"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PRELIMINAR</w:t>
      </w:r>
      <w:r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DO VALOR DA CONTRATAÇÃO </w:t>
      </w:r>
      <w:r w:rsidR="008A4A1B" w:rsidRPr="00CE431B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(M²)</w:t>
      </w:r>
    </w:p>
    <w:p w14:paraId="1A0EA267" w14:textId="30A64775" w:rsidR="00CE431B" w:rsidRPr="00980B02" w:rsidRDefault="00CE431B" w:rsidP="00025840">
      <w:pPr>
        <w:pStyle w:val="PargrafodaLista"/>
        <w:numPr>
          <w:ilvl w:val="0"/>
          <w:numId w:val="15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 xml:space="preserve">Estima-se o valor global </w:t>
      </w:r>
      <w:r w:rsidR="00980B02" w:rsidRPr="00980B02">
        <w:rPr>
          <w:rFonts w:cstheme="minorHAnsi"/>
          <w:color w:val="00B0F0"/>
          <w:sz w:val="24"/>
          <w:szCs w:val="24"/>
        </w:rPr>
        <w:t>do serviço</w:t>
      </w:r>
      <w:r w:rsidRPr="00980B02">
        <w:rPr>
          <w:rFonts w:cstheme="minorHAnsi"/>
          <w:color w:val="00B0F0"/>
          <w:sz w:val="24"/>
          <w:szCs w:val="24"/>
        </w:rPr>
        <w:t xml:space="preserve"> em aproximadamente </w:t>
      </w:r>
      <w:proofErr w:type="spellStart"/>
      <w:r w:rsidR="00DE0B85" w:rsidRPr="00980B02">
        <w:rPr>
          <w:rFonts w:cstheme="minorHAnsi"/>
          <w:color w:val="00B0F0"/>
          <w:sz w:val="24"/>
          <w:szCs w:val="24"/>
        </w:rPr>
        <w:t>xxxxx</w:t>
      </w:r>
      <w:proofErr w:type="spellEnd"/>
      <w:r w:rsidR="00DE0B85" w:rsidRPr="00980B02">
        <w:rPr>
          <w:rFonts w:cstheme="minorHAnsi"/>
          <w:color w:val="00B0F0"/>
          <w:sz w:val="24"/>
          <w:szCs w:val="24"/>
        </w:rPr>
        <w:t xml:space="preserve"> de acordo com a estimativa paramétrica adotada</w:t>
      </w:r>
      <w:r w:rsidR="0099671D" w:rsidRPr="00980B02">
        <w:rPr>
          <w:rFonts w:cstheme="minorHAnsi"/>
          <w:color w:val="00B0F0"/>
          <w:sz w:val="24"/>
          <w:szCs w:val="24"/>
        </w:rPr>
        <w:t xml:space="preserve"> e/ou cotação realizada</w:t>
      </w:r>
      <w:r w:rsidR="00DE0B85" w:rsidRPr="00980B02">
        <w:rPr>
          <w:rFonts w:cstheme="minorHAnsi"/>
          <w:color w:val="00B0F0"/>
          <w:sz w:val="24"/>
          <w:szCs w:val="24"/>
        </w:rPr>
        <w:t>.</w:t>
      </w:r>
    </w:p>
    <w:p w14:paraId="05BD8737" w14:textId="0825BF0F" w:rsidR="00FC7469" w:rsidRPr="004765BD" w:rsidRDefault="00FC7469" w:rsidP="00F009DE">
      <w:pPr>
        <w:tabs>
          <w:tab w:val="left" w:pos="9639"/>
          <w:tab w:val="left" w:pos="10348"/>
        </w:tabs>
        <w:spacing w:before="120" w:after="120" w:line="360" w:lineRule="auto"/>
        <w:ind w:left="567" w:right="828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1: Estimativa do valor da contratação, acompanhada dos preços unitários referenciais, das memórias de cálculo e dos documentos que lhe dão suporte, que poderão constar de anexo classificado, se a Administração optar por preservar o seu sigilo até a conclusão da licitação, conforme disposto no inciso VI do § 1° do art. 18 da Lei 14.133/2021 e no inciso VI do art. 9º da IN SEGES nº 58/2022.  </w:t>
      </w:r>
    </w:p>
    <w:p w14:paraId="52F8F317" w14:textId="77777777" w:rsidR="00FC7469" w:rsidRPr="004765BD" w:rsidRDefault="00FC7469" w:rsidP="00F009DE">
      <w:pPr>
        <w:tabs>
          <w:tab w:val="left" w:pos="9639"/>
          <w:tab w:val="left" w:pos="10348"/>
        </w:tabs>
        <w:spacing w:before="120" w:after="120" w:line="360" w:lineRule="auto"/>
        <w:ind w:left="567" w:right="828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A estimativa de preço preliminar visa à escolha da melhor solução para a contratação e à análise de sua viabilidade. O orçamento estimativo final para a contratação irá compor o Termo de Referência e será elaborado com base nas diretrizes da IN SEGES/ME nº 65/2021. </w:t>
      </w:r>
    </w:p>
    <w:p w14:paraId="33929658" w14:textId="77777777" w:rsidR="00FC7469" w:rsidRPr="004765BD" w:rsidRDefault="00FC7469" w:rsidP="00F009DE">
      <w:pPr>
        <w:tabs>
          <w:tab w:val="left" w:pos="9639"/>
          <w:tab w:val="left" w:pos="10348"/>
        </w:tabs>
        <w:spacing w:before="120" w:after="120" w:line="360" w:lineRule="auto"/>
        <w:ind w:left="567" w:right="828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Para a estimativa preliminar do valor da contratação poderão ser utilizadas as seguintes fontes, de forma combinada ou não: </w:t>
      </w:r>
    </w:p>
    <w:p w14:paraId="199E7168" w14:textId="4BAE404B" w:rsidR="00FC7469" w:rsidRPr="00025840" w:rsidRDefault="00FC7469" w:rsidP="00025840">
      <w:pPr>
        <w:pStyle w:val="PargrafodaLista"/>
        <w:numPr>
          <w:ilvl w:val="0"/>
          <w:numId w:val="2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70C0"/>
          <w:sz w:val="20"/>
          <w:szCs w:val="20"/>
        </w:rPr>
      </w:pPr>
      <w:r w:rsidRPr="00025840">
        <w:rPr>
          <w:rFonts w:cstheme="minorHAnsi"/>
          <w:color w:val="0070C0"/>
          <w:sz w:val="20"/>
          <w:szCs w:val="20"/>
        </w:rPr>
        <w:lastRenderedPageBreak/>
        <w:t xml:space="preserve">valor informado para a referida contratação no Plano Anual de Contratações;  </w:t>
      </w:r>
    </w:p>
    <w:p w14:paraId="6E716889" w14:textId="2709715F" w:rsidR="00FC7469" w:rsidRPr="00025840" w:rsidRDefault="00FC7469" w:rsidP="00025840">
      <w:pPr>
        <w:pStyle w:val="PargrafodaLista"/>
        <w:numPr>
          <w:ilvl w:val="0"/>
          <w:numId w:val="2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70C0"/>
          <w:sz w:val="20"/>
          <w:szCs w:val="20"/>
        </w:rPr>
      </w:pPr>
      <w:r w:rsidRPr="00025840">
        <w:rPr>
          <w:rFonts w:cstheme="minorHAnsi"/>
          <w:color w:val="0070C0"/>
          <w:sz w:val="20"/>
          <w:szCs w:val="20"/>
        </w:rPr>
        <w:t>histórico de preços praticados em contratações do PJERJ;</w:t>
      </w:r>
    </w:p>
    <w:p w14:paraId="0FC45419" w14:textId="4520C45F" w:rsidR="00FC7469" w:rsidRPr="00025840" w:rsidRDefault="00FC7469" w:rsidP="00025840">
      <w:pPr>
        <w:pStyle w:val="PargrafodaLista"/>
        <w:numPr>
          <w:ilvl w:val="0"/>
          <w:numId w:val="2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70C0"/>
          <w:sz w:val="20"/>
          <w:szCs w:val="20"/>
        </w:rPr>
      </w:pPr>
      <w:r w:rsidRPr="00025840">
        <w:rPr>
          <w:rFonts w:cstheme="minorHAnsi"/>
          <w:color w:val="0070C0"/>
          <w:sz w:val="20"/>
          <w:szCs w:val="20"/>
        </w:rPr>
        <w:t>preços de contratações públicas similares realizadas por outros órgãos e entidades da Administração;</w:t>
      </w:r>
    </w:p>
    <w:p w14:paraId="79DAEE2A" w14:textId="6A04FE29" w:rsidR="00FC7469" w:rsidRPr="00025840" w:rsidRDefault="00FC7469" w:rsidP="00025840">
      <w:pPr>
        <w:pStyle w:val="PargrafodaLista"/>
        <w:numPr>
          <w:ilvl w:val="0"/>
          <w:numId w:val="2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70C0"/>
          <w:sz w:val="20"/>
          <w:szCs w:val="20"/>
        </w:rPr>
      </w:pPr>
      <w:r w:rsidRPr="00025840">
        <w:rPr>
          <w:rFonts w:cstheme="minorHAnsi"/>
          <w:color w:val="0070C0"/>
          <w:sz w:val="20"/>
          <w:szCs w:val="20"/>
        </w:rPr>
        <w:t>preços de mercado vigentes;</w:t>
      </w:r>
    </w:p>
    <w:p w14:paraId="2BAA628C" w14:textId="0CE871E8" w:rsidR="00FC7469" w:rsidRPr="00025840" w:rsidRDefault="00FC7469" w:rsidP="00025840">
      <w:pPr>
        <w:pStyle w:val="PargrafodaLista"/>
        <w:numPr>
          <w:ilvl w:val="0"/>
          <w:numId w:val="2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70C0"/>
          <w:sz w:val="20"/>
          <w:szCs w:val="20"/>
        </w:rPr>
      </w:pPr>
      <w:r w:rsidRPr="00025840">
        <w:rPr>
          <w:rFonts w:cstheme="minorHAnsi"/>
          <w:color w:val="0070C0"/>
          <w:sz w:val="20"/>
          <w:szCs w:val="20"/>
        </w:rPr>
        <w:t>preços de contratações públicas similares realizadas por outros órgãos e entidades da Administração;</w:t>
      </w:r>
    </w:p>
    <w:p w14:paraId="38309647" w14:textId="02663D9F" w:rsidR="00FC7469" w:rsidRDefault="00FC7469" w:rsidP="00025840">
      <w:pPr>
        <w:tabs>
          <w:tab w:val="left" w:pos="9639"/>
          <w:tab w:val="left" w:pos="10348"/>
        </w:tabs>
        <w:spacing w:before="120" w:after="120" w:line="360" w:lineRule="auto"/>
        <w:ind w:left="567" w:right="828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obrigatório - § 2° do art. 18 da Lei 14.133/2021.</w:t>
      </w:r>
    </w:p>
    <w:p w14:paraId="27047350" w14:textId="125BCAE8" w:rsidR="00FC7469" w:rsidRPr="00607D90" w:rsidRDefault="00FC7469" w:rsidP="00F009DE">
      <w:pPr>
        <w:shd w:val="clear" w:color="auto" w:fill="B8CCE4" w:themeFill="accent1" w:themeFillTint="66"/>
        <w:tabs>
          <w:tab w:val="left" w:pos="10348"/>
        </w:tabs>
        <w:spacing w:before="24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VII - DESCRIÇÃO DA SOLUÇÃO COMO UM TODO </w:t>
      </w:r>
    </w:p>
    <w:p w14:paraId="7C82EA60" w14:textId="529E7B89" w:rsidR="002075ED" w:rsidRDefault="002075ED" w:rsidP="00025840">
      <w:pPr>
        <w:tabs>
          <w:tab w:val="left" w:pos="9639"/>
          <w:tab w:val="left" w:pos="10348"/>
        </w:tabs>
        <w:spacing w:before="120" w:after="120" w:line="360" w:lineRule="auto"/>
        <w:ind w:left="567" w:right="82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</w:p>
    <w:p w14:paraId="6028F23F" w14:textId="77777777" w:rsidR="00B9344A" w:rsidRPr="00980B02" w:rsidRDefault="00B9344A" w:rsidP="00025840">
      <w:pPr>
        <w:pStyle w:val="PargrafodaLista"/>
        <w:numPr>
          <w:ilvl w:val="0"/>
          <w:numId w:val="1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Tipo de serviços a executar</w:t>
      </w:r>
    </w:p>
    <w:p w14:paraId="52FC7B16" w14:textId="160F9D3F" w:rsidR="00B36095" w:rsidRPr="00980B02" w:rsidRDefault="00B9344A" w:rsidP="00025840">
      <w:pPr>
        <w:pStyle w:val="PargrafodaLista"/>
        <w:numPr>
          <w:ilvl w:val="0"/>
          <w:numId w:val="1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Abrangência/alcance</w:t>
      </w:r>
    </w:p>
    <w:p w14:paraId="70102BA3" w14:textId="6191BE96" w:rsidR="00B9344A" w:rsidRPr="00980B02" w:rsidRDefault="00B9344A" w:rsidP="00025840">
      <w:pPr>
        <w:pStyle w:val="PargrafodaLista"/>
        <w:numPr>
          <w:ilvl w:val="0"/>
          <w:numId w:val="11"/>
        </w:numPr>
        <w:tabs>
          <w:tab w:val="left" w:pos="9639"/>
          <w:tab w:val="left" w:pos="10348"/>
        </w:tabs>
        <w:spacing w:before="120" w:after="120" w:line="360" w:lineRule="auto"/>
        <w:ind w:left="1701" w:right="828" w:hanging="283"/>
        <w:jc w:val="both"/>
        <w:rPr>
          <w:rFonts w:cstheme="minorHAnsi"/>
          <w:color w:val="00B0F0"/>
          <w:sz w:val="24"/>
          <w:szCs w:val="24"/>
        </w:rPr>
      </w:pPr>
      <w:r w:rsidRPr="00980B02">
        <w:rPr>
          <w:rFonts w:cstheme="minorHAnsi"/>
          <w:color w:val="00B0F0"/>
          <w:sz w:val="24"/>
          <w:szCs w:val="24"/>
        </w:rPr>
        <w:t>Prazo</w:t>
      </w:r>
    </w:p>
    <w:p w14:paraId="3D3A2883" w14:textId="19A57B96" w:rsidR="00FC7469" w:rsidRPr="004765BD" w:rsidRDefault="00FC7469" w:rsidP="00025840">
      <w:pPr>
        <w:tabs>
          <w:tab w:val="left" w:pos="9639"/>
          <w:tab w:val="left" w:pos="10348"/>
        </w:tabs>
        <w:spacing w:before="120" w:after="120" w:line="360" w:lineRule="auto"/>
        <w:ind w:left="567" w:right="828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Definir a descrição da solução como um todo, inclusive das exigências relacionadas à manutenção e à assistência técnica, quando for o caso, conforme disposto no inciso VII do § 1° do art. 18 da Lei 14.133/2021 e no inciso IV do art. 9º da IN SEGES nº 58/2022.</w:t>
      </w:r>
    </w:p>
    <w:p w14:paraId="7C21961A" w14:textId="7283D959" w:rsidR="00FC7469" w:rsidRDefault="00FC7469" w:rsidP="00025840">
      <w:pPr>
        <w:tabs>
          <w:tab w:val="left" w:pos="9639"/>
          <w:tab w:val="left" w:pos="10348"/>
        </w:tabs>
        <w:spacing w:before="120" w:after="120" w:line="360" w:lineRule="auto"/>
        <w:ind w:left="567" w:right="828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1F07819B" w14:textId="4C001683" w:rsidR="00FC7469" w:rsidRPr="00607D90" w:rsidRDefault="00FC7469" w:rsidP="00F009DE">
      <w:pPr>
        <w:shd w:val="clear" w:color="auto" w:fill="B8CCE4" w:themeFill="accent1" w:themeFillTint="66"/>
        <w:tabs>
          <w:tab w:val="left" w:pos="10348"/>
        </w:tabs>
        <w:spacing w:before="24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VIII - JUSTIFICATIVAS PARA O PARCELAMENTO OU NÃO DA SOLUÇÃO</w:t>
      </w:r>
    </w:p>
    <w:p w14:paraId="171B74FB" w14:textId="4D980E57" w:rsidR="002075ED" w:rsidRPr="002075ED" w:rsidRDefault="002075ED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</w:t>
      </w:r>
      <w:r w:rsidRPr="00980B02">
        <w:rPr>
          <w:rFonts w:cstheme="minorHAnsi"/>
          <w:color w:val="00B0F0"/>
          <w:sz w:val="24"/>
          <w:szCs w:val="24"/>
        </w:rPr>
        <w:t>...</w:t>
      </w:r>
      <w:r w:rsidR="00B9344A" w:rsidRPr="00980B02">
        <w:rPr>
          <w:rFonts w:cstheme="minorHAnsi"/>
          <w:color w:val="00B0F0"/>
          <w:sz w:val="24"/>
          <w:szCs w:val="24"/>
        </w:rPr>
        <w:t xml:space="preserve"> * SE FOR O CASO</w:t>
      </w:r>
    </w:p>
    <w:p w14:paraId="7780B966" w14:textId="52C97F0A" w:rsidR="00FC7469" w:rsidRPr="004765BD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1: A regra a ser observada pela Administração nas licitações é a do parcelamento do objeto, conforme disposto no art. 47, II da Lei nº 14.133/21, mas é imprescindível que a divisão do objeto seja técnica e economicamente viável e não represente perda de economia de escala (Súmula 247 do TCU). </w:t>
      </w:r>
    </w:p>
    <w:p w14:paraId="0769E34D" w14:textId="68C09E51" w:rsidR="00FC7469" w:rsidRPr="004765BD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 xml:space="preserve">Nota Explicativa 2: A unidade requisitante deve identificar se o objeto é composto por itens divisíveis ou não, de acordo com as suas características técnicas e peculiares de comercialização no mercado, devendo definir e informar se o critério de adjudicação do objeto será por item, grupos ou global, apresentado, desta forma, as justificativas para o parcelamento ou não da solução, conforme disposto no inciso VIII do § 1° do art. 18 da Lei 14.133/2021 e no inciso VII do art. 9º da IN SEGES nº 58/2022.  </w:t>
      </w:r>
    </w:p>
    <w:p w14:paraId="1C37D1E0" w14:textId="0184D74D" w:rsidR="00FC7469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3: Preenchimento obrigatório - § 2° do art. 18 da Lei 14.133/2021.</w:t>
      </w:r>
    </w:p>
    <w:p w14:paraId="24A49056" w14:textId="0BFC0F65" w:rsidR="00FC7469" w:rsidRPr="00CB2432" w:rsidRDefault="00FC7469" w:rsidP="00F009DE">
      <w:pPr>
        <w:shd w:val="clear" w:color="auto" w:fill="B8CCE4" w:themeFill="accent1" w:themeFillTint="66"/>
        <w:tabs>
          <w:tab w:val="left" w:pos="10348"/>
        </w:tabs>
        <w:spacing w:before="240" w:after="240"/>
        <w:ind w:left="567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IX – DEMONSTRATIVO DOS RESULTADOS PRETENDIDOS</w:t>
      </w:r>
      <w:r w:rsidR="00B36095"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 </w:t>
      </w:r>
    </w:p>
    <w:p w14:paraId="7E0D6978" w14:textId="29739936" w:rsidR="002075ED" w:rsidRPr="00CB2432" w:rsidRDefault="002075ED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  <w:r w:rsidRPr="00CB2432">
        <w:rPr>
          <w:rFonts w:cstheme="minorHAnsi"/>
          <w:color w:val="000000" w:themeColor="text1"/>
          <w:sz w:val="24"/>
          <w:szCs w:val="24"/>
        </w:rPr>
        <w:t>Incluir texto aqui...</w:t>
      </w:r>
    </w:p>
    <w:p w14:paraId="754DDAB7" w14:textId="06261557" w:rsidR="00FC7469" w:rsidRPr="00CB2432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B2432">
        <w:rPr>
          <w:rFonts w:cstheme="minorHAnsi"/>
          <w:color w:val="0070C0"/>
          <w:sz w:val="20"/>
          <w:szCs w:val="20"/>
        </w:rPr>
        <w:t>Nota Explicativa 1: Demonstrar os resultados pretendidos, em termos de economicidade e de melhor aproveitamento dos recursos humanos, materiais e financeiros disponíveis, conforme disposto no inciso IX do § 1° do art. 18 da Lei 14.133/2021 e no inciso X do art. 9º da IN SEGES nº 58/2022.</w:t>
      </w:r>
    </w:p>
    <w:p w14:paraId="34382294" w14:textId="16F3DDF9" w:rsidR="00FC7469" w:rsidRPr="00CB2432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B2432">
        <w:rPr>
          <w:rFonts w:cstheme="minorHAnsi"/>
          <w:color w:val="0070C0"/>
          <w:sz w:val="20"/>
          <w:szCs w:val="20"/>
        </w:rPr>
        <w:lastRenderedPageBreak/>
        <w:t>Nota Explicativa 2: As contratações públicas visam atender as necessidades da Administração, mediante resultados positivos, pautados na eficácia da escolha da solução em face do custo-benefício (economicidade), em detrimento do que o órgão possui (recursos humanos, materiais ou financeiros). Assim a unidade requisitante deve apontar o que espera alcançar com a solução escolhida, de forma a constatar ser a mais adequada à demanda considerando os resultados pretendidos. Além disso, a definição do que se pretende alcançar, se for o caso, poderá subsidiar a criação de indicadores de desempenho que possam ser utilizados em instrumentos de controle que permitam a mensuração de resultados e adequação do objeto prestado.</w:t>
      </w:r>
    </w:p>
    <w:p w14:paraId="4D867CD6" w14:textId="377DF6E9" w:rsidR="00FC7469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CB2432">
        <w:rPr>
          <w:rFonts w:cstheme="minorHAnsi"/>
          <w:color w:val="0070C0"/>
          <w:sz w:val="20"/>
          <w:szCs w:val="20"/>
        </w:rPr>
        <w:t>Nota Explicativa 3: Preenchimento facultativo, mediante justificativa - § 2° do art. 18 da Lei 14.133/2021.</w:t>
      </w:r>
    </w:p>
    <w:p w14:paraId="53514B97" w14:textId="59AF8633" w:rsidR="00FC7469" w:rsidRPr="00607D90" w:rsidRDefault="00FC7469" w:rsidP="00F009DE">
      <w:pPr>
        <w:shd w:val="clear" w:color="auto" w:fill="B8CCE4" w:themeFill="accent1" w:themeFillTint="66"/>
        <w:tabs>
          <w:tab w:val="left" w:pos="10348"/>
        </w:tabs>
        <w:spacing w:before="24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 xml:space="preserve">X - </w:t>
      </w:r>
      <w:r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PROVIDÊNCIAS PRÉVIAS AO CONTRATO </w:t>
      </w:r>
      <w:r w:rsidR="00D27F64" w:rsidRPr="00CB2432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 xml:space="preserve">A SEREM ADOTADAS PELA ADMINISTRAÇÃO </w:t>
      </w:r>
    </w:p>
    <w:p w14:paraId="12517295" w14:textId="59A5720E" w:rsidR="00B36095" w:rsidRDefault="002075ED" w:rsidP="00F009DE">
      <w:pPr>
        <w:pStyle w:val="PargrafodaLista"/>
        <w:tabs>
          <w:tab w:val="left" w:pos="10348"/>
        </w:tabs>
        <w:spacing w:before="120" w:after="120" w:line="360" w:lineRule="auto"/>
        <w:ind w:left="1146"/>
        <w:jc w:val="both"/>
        <w:rPr>
          <w:rFonts w:cstheme="minorHAnsi"/>
          <w:color w:val="00B0F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>
        <w:rPr>
          <w:rFonts w:cstheme="minorHAnsi"/>
          <w:sz w:val="24"/>
          <w:szCs w:val="24"/>
        </w:rPr>
        <w:t>aqui...</w:t>
      </w:r>
      <w:r w:rsidR="00B36095" w:rsidRPr="00B36095">
        <w:rPr>
          <w:rFonts w:cstheme="minorHAnsi"/>
          <w:color w:val="00B0F0"/>
          <w:sz w:val="24"/>
          <w:szCs w:val="24"/>
        </w:rPr>
        <w:t xml:space="preserve"> </w:t>
      </w:r>
    </w:p>
    <w:p w14:paraId="51B077A8" w14:textId="77777777" w:rsidR="00B36095" w:rsidRDefault="00B36095" w:rsidP="00F009DE">
      <w:pPr>
        <w:pStyle w:val="PargrafodaLista"/>
        <w:numPr>
          <w:ilvl w:val="0"/>
          <w:numId w:val="12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>Equipe de fiscalização</w:t>
      </w:r>
    </w:p>
    <w:p w14:paraId="53CB62A2" w14:textId="58911A72" w:rsidR="002075ED" w:rsidRPr="00B36095" w:rsidRDefault="00B36095" w:rsidP="00F009DE">
      <w:pPr>
        <w:pStyle w:val="PargrafodaLista"/>
        <w:numPr>
          <w:ilvl w:val="0"/>
          <w:numId w:val="12"/>
        </w:numPr>
        <w:tabs>
          <w:tab w:val="left" w:pos="10348"/>
        </w:tabs>
        <w:spacing w:before="120" w:after="120" w:line="360" w:lineRule="auto"/>
        <w:ind w:left="1701" w:hanging="283"/>
        <w:jc w:val="both"/>
        <w:rPr>
          <w:rFonts w:cstheme="minorHAnsi"/>
          <w:color w:val="00B0F0"/>
          <w:sz w:val="24"/>
          <w:szCs w:val="24"/>
        </w:rPr>
      </w:pPr>
      <w:r w:rsidRPr="00B36095">
        <w:rPr>
          <w:rFonts w:cstheme="minorHAnsi"/>
          <w:color w:val="00B0F0"/>
          <w:sz w:val="24"/>
          <w:szCs w:val="24"/>
        </w:rPr>
        <w:t>Interface com outras unidades</w:t>
      </w:r>
    </w:p>
    <w:p w14:paraId="27845ADC" w14:textId="164E4575" w:rsidR="00FC7469" w:rsidRPr="004765BD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1: Informar as providências a serem adotadas pela Administração previamente à celebração do contrato, tais como adaptações no ambiente do órgão ou da entidade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pequenas intervenções da engenharia), necessidade de obtenção de licenças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ajustes de sistemas), outorgas ou autorizações, capacitação de servidores (</w:t>
      </w:r>
      <w:proofErr w:type="spellStart"/>
      <w:r w:rsidRPr="004765BD">
        <w:rPr>
          <w:rFonts w:cstheme="minorHAnsi"/>
          <w:color w:val="0070C0"/>
          <w:sz w:val="20"/>
          <w:szCs w:val="20"/>
        </w:rPr>
        <w:t>ex</w:t>
      </w:r>
      <w:proofErr w:type="spellEnd"/>
      <w:r w:rsidRPr="004765BD">
        <w:rPr>
          <w:rFonts w:cstheme="minorHAnsi"/>
          <w:color w:val="0070C0"/>
          <w:sz w:val="20"/>
          <w:szCs w:val="20"/>
        </w:rPr>
        <w:t>: capacitação para fiscalização e gestão contratual ou para à execução do objeto, no caso de locação de equipamento, saber operá-lo), conforme disposto no inciso X do § 1° do art. 18 da Lei 14.133/2021 e no inciso XI do art. 9º da IN SEGES nº 58/2022.</w:t>
      </w:r>
    </w:p>
    <w:p w14:paraId="01AB67FB" w14:textId="2BDF4EB0" w:rsidR="00FC7469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765BD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25EF4AF6" w14:textId="7F3FC3C2" w:rsidR="00FC7469" w:rsidRPr="00460745" w:rsidRDefault="00FC7469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</w:pPr>
      <w:r w:rsidRPr="00460745">
        <w:rPr>
          <w:rFonts w:eastAsia="Times New Roman" w:cstheme="minorHAnsi"/>
          <w:b/>
          <w:color w:val="000000" w:themeColor="text1"/>
          <w:sz w:val="24"/>
          <w:szCs w:val="24"/>
          <w:lang w:eastAsia="pt-BR"/>
        </w:rPr>
        <w:t>XI - CONTRATAÇÕES CORRELATAS E/OU INTERDEPENDENTES</w:t>
      </w:r>
    </w:p>
    <w:p w14:paraId="0185649B" w14:textId="3FB8F244" w:rsidR="00B36095" w:rsidRPr="00460745" w:rsidRDefault="002075ED" w:rsidP="00F009DE">
      <w:pPr>
        <w:tabs>
          <w:tab w:val="left" w:pos="9214"/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0000" w:themeColor="text1"/>
          <w:sz w:val="24"/>
          <w:szCs w:val="24"/>
        </w:rPr>
      </w:pPr>
      <w:r w:rsidRPr="00460745">
        <w:rPr>
          <w:rFonts w:cstheme="minorHAnsi"/>
          <w:color w:val="000000" w:themeColor="text1"/>
          <w:sz w:val="24"/>
          <w:szCs w:val="24"/>
        </w:rPr>
        <w:t xml:space="preserve">Incluir </w:t>
      </w:r>
      <w:r w:rsidR="00774A19" w:rsidRPr="00460745">
        <w:rPr>
          <w:rFonts w:cstheme="minorHAnsi"/>
          <w:color w:val="000000" w:themeColor="text1"/>
          <w:sz w:val="24"/>
          <w:szCs w:val="24"/>
        </w:rPr>
        <w:t xml:space="preserve">texto </w:t>
      </w:r>
      <w:r w:rsidRPr="00460745">
        <w:rPr>
          <w:rFonts w:cstheme="minorHAnsi"/>
          <w:color w:val="000000" w:themeColor="text1"/>
          <w:sz w:val="24"/>
          <w:szCs w:val="24"/>
        </w:rPr>
        <w:t>aqui...</w:t>
      </w:r>
    </w:p>
    <w:p w14:paraId="6B0A96CA" w14:textId="635F060D" w:rsidR="00FC7469" w:rsidRPr="00460745" w:rsidRDefault="00FC7469" w:rsidP="00F009DE">
      <w:pPr>
        <w:tabs>
          <w:tab w:val="left" w:pos="9214"/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60745">
        <w:rPr>
          <w:rFonts w:cstheme="minorHAnsi"/>
          <w:color w:val="0070C0"/>
          <w:sz w:val="20"/>
          <w:szCs w:val="20"/>
        </w:rPr>
        <w:t>Nota Explicativa 1: Informar se há contratações correlatas e/ou interdependentes, ou seja, que guardam relação/afinidade com o objeto da contratação pretendida, sejam elas já realizadas ou contratações futuras, conforme disposto no inciso XI do § 1° do art. 18 da Lei 14.133/2021 e no inciso VIII do art. 9º da IN SEGES nº 58/2022.</w:t>
      </w:r>
    </w:p>
    <w:p w14:paraId="1047B846" w14:textId="4974B1DD" w:rsidR="00FC7469" w:rsidRDefault="00FC7469" w:rsidP="00F009DE">
      <w:pPr>
        <w:tabs>
          <w:tab w:val="left" w:pos="9214"/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460745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7510B800" w14:textId="3AB72EEB" w:rsidR="00FC7469" w:rsidRPr="00607D90" w:rsidRDefault="00FC7469" w:rsidP="00F009DE">
      <w:pPr>
        <w:shd w:val="clear" w:color="auto" w:fill="B8CCE4" w:themeFill="accent1" w:themeFillTint="66"/>
        <w:tabs>
          <w:tab w:val="left" w:pos="10348"/>
        </w:tabs>
        <w:spacing w:before="36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t>XII - POSSÍVEIS IMPACTOS AMBIENTAIS</w:t>
      </w:r>
    </w:p>
    <w:p w14:paraId="5B4EC7E3" w14:textId="725A0832" w:rsidR="004765BD" w:rsidRPr="0099086C" w:rsidRDefault="004765BD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Incluir </w:t>
      </w:r>
      <w:r w:rsidRPr="002075ED">
        <w:rPr>
          <w:rFonts w:cstheme="minorHAnsi"/>
          <w:sz w:val="24"/>
          <w:szCs w:val="24"/>
        </w:rPr>
        <w:t xml:space="preserve">texto </w:t>
      </w:r>
      <w:r w:rsidR="0099671D">
        <w:rPr>
          <w:rFonts w:cstheme="minorHAnsi"/>
          <w:sz w:val="24"/>
          <w:szCs w:val="24"/>
        </w:rPr>
        <w:t>aqui</w:t>
      </w:r>
      <w:r w:rsidR="0099671D" w:rsidRPr="00980B02">
        <w:rPr>
          <w:rFonts w:cstheme="minorHAnsi"/>
          <w:color w:val="00B0F0"/>
          <w:sz w:val="24"/>
          <w:szCs w:val="24"/>
        </w:rPr>
        <w:t>.</w:t>
      </w:r>
      <w:r w:rsidR="0099587E">
        <w:rPr>
          <w:rFonts w:cstheme="minorHAnsi"/>
          <w:color w:val="00B0F0"/>
          <w:sz w:val="24"/>
          <w:szCs w:val="24"/>
        </w:rPr>
        <w:t xml:space="preserve">  </w:t>
      </w:r>
      <w:r w:rsidR="00980B02" w:rsidRPr="00980B02">
        <w:rPr>
          <w:rFonts w:cstheme="minorHAnsi"/>
          <w:color w:val="00B0F0"/>
          <w:sz w:val="24"/>
          <w:szCs w:val="24"/>
        </w:rPr>
        <w:t>volumetria de bota-fora</w:t>
      </w:r>
      <w:r w:rsidR="0099587E">
        <w:rPr>
          <w:rFonts w:cstheme="minorHAnsi"/>
          <w:color w:val="00B0F0"/>
          <w:sz w:val="24"/>
          <w:szCs w:val="24"/>
        </w:rPr>
        <w:t>, por exemplo</w:t>
      </w:r>
    </w:p>
    <w:p w14:paraId="4101A698" w14:textId="697C2971" w:rsidR="00FC7469" w:rsidRPr="00774A19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 1: Descrever os possíveis impactos ambientais e respectivas medidas mitigadoras, incluídos requisitos de baixo consumo de energia e de outros recursos, bem como logística reversa para desfazimento e reciclagem de bens e refugos, quando aplicável, conforme disposto no inciso XII do § 1° do art. 18 da Lei 14.133/2021 e no inciso XII do art. 9º da IN SEGES nº 58/2022.</w:t>
      </w:r>
    </w:p>
    <w:p w14:paraId="7760E145" w14:textId="610A7123" w:rsidR="00FC7469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774A19">
        <w:rPr>
          <w:rFonts w:cstheme="minorHAnsi"/>
          <w:color w:val="0070C0"/>
          <w:sz w:val="20"/>
          <w:szCs w:val="20"/>
        </w:rPr>
        <w:t>Nota Explicativa 2: Preenchimento facultativo, mediante justificativa - § 2° do art. 18 da Lei 14.133/2021.</w:t>
      </w:r>
    </w:p>
    <w:p w14:paraId="00F88AD6" w14:textId="77777777" w:rsidR="00FC7469" w:rsidRPr="00FC7469" w:rsidRDefault="00FC7469" w:rsidP="000A4DC8">
      <w:pPr>
        <w:shd w:val="clear" w:color="auto" w:fill="B8CCE4" w:themeFill="accent1" w:themeFillTint="66"/>
        <w:tabs>
          <w:tab w:val="left" w:pos="10348"/>
        </w:tabs>
        <w:spacing w:before="720" w:after="240"/>
        <w:ind w:left="567"/>
        <w:jc w:val="both"/>
        <w:rPr>
          <w:rFonts w:eastAsia="Times New Roman" w:cstheme="minorHAnsi"/>
          <w:b/>
          <w:sz w:val="24"/>
          <w:szCs w:val="24"/>
          <w:lang w:eastAsia="pt-BR"/>
        </w:rPr>
      </w:pPr>
      <w:r w:rsidRPr="00FC7469">
        <w:rPr>
          <w:rFonts w:eastAsia="Times New Roman" w:cstheme="minorHAnsi"/>
          <w:b/>
          <w:sz w:val="24"/>
          <w:szCs w:val="24"/>
          <w:lang w:eastAsia="pt-BR"/>
        </w:rPr>
        <w:lastRenderedPageBreak/>
        <w:t>XIII - POSICIONAMENTO CONCLUSIVO SOBRE A CONTRATAÇÃO</w:t>
      </w:r>
    </w:p>
    <w:p w14:paraId="53A92307" w14:textId="77777777" w:rsidR="00FC7469" w:rsidRPr="00F009DE" w:rsidRDefault="00FC7469" w:rsidP="00F009DE">
      <w:pPr>
        <w:tabs>
          <w:tab w:val="left" w:pos="10348"/>
        </w:tabs>
        <w:spacing w:before="120" w:after="120"/>
        <w:ind w:left="567"/>
        <w:jc w:val="both"/>
        <w:rPr>
          <w:rFonts w:eastAsia="Times New Roman" w:cstheme="minorHAnsi"/>
          <w:sz w:val="24"/>
          <w:szCs w:val="24"/>
          <w:lang w:eastAsia="pt-BR"/>
        </w:rPr>
      </w:pPr>
      <w:r w:rsidRPr="00F009DE">
        <w:rPr>
          <w:rFonts w:eastAsia="Times New Roman" w:cstheme="minorHAnsi"/>
          <w:sz w:val="24"/>
          <w:szCs w:val="24"/>
          <w:lang w:eastAsia="pt-BR"/>
        </w:rPr>
        <w:t>Em observância ao disposto no§ 2° do art. 18 da Lei 14.133/2021, conclui-se:</w:t>
      </w:r>
    </w:p>
    <w:p w14:paraId="2E08E695" w14:textId="77777777" w:rsidR="00FC7469" w:rsidRPr="00F009DE" w:rsidRDefault="00FC7469" w:rsidP="00F009DE">
      <w:pPr>
        <w:tabs>
          <w:tab w:val="left" w:pos="10348"/>
        </w:tabs>
        <w:spacing w:before="120" w:after="120"/>
        <w:ind w:left="141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009DE">
        <w:rPr>
          <w:rFonts w:eastAsia="Times New Roman" w:cstheme="minorHAnsi"/>
          <w:sz w:val="24"/>
          <w:szCs w:val="24"/>
          <w:lang w:eastAsia="pt-BR"/>
        </w:rPr>
        <w:t xml:space="preserve">(  </w:t>
      </w:r>
      <w:proofErr w:type="gramEnd"/>
      <w:r w:rsidRPr="00F009DE">
        <w:rPr>
          <w:rFonts w:eastAsia="Times New Roman" w:cstheme="minorHAnsi"/>
          <w:sz w:val="24"/>
          <w:szCs w:val="24"/>
          <w:lang w:eastAsia="pt-BR"/>
        </w:rPr>
        <w:t xml:space="preserve">  ) </w:t>
      </w:r>
      <w:r w:rsidRPr="00F009DE">
        <w:rPr>
          <w:rFonts w:eastAsia="Times New Roman" w:cstheme="minorHAnsi"/>
          <w:b/>
          <w:sz w:val="24"/>
          <w:szCs w:val="24"/>
          <w:lang w:eastAsia="pt-BR"/>
        </w:rPr>
        <w:t>SER adequada a contratação</w:t>
      </w:r>
      <w:r w:rsidRPr="00F009DE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Pr="00F009DE">
        <w:rPr>
          <w:rFonts w:eastAsia="Times New Roman" w:cstheme="minorHAnsi"/>
          <w:b/>
          <w:sz w:val="24"/>
          <w:szCs w:val="24"/>
          <w:lang w:eastAsia="pt-BR"/>
        </w:rPr>
        <w:t>para o atendimento da necessidade a que se destina</w:t>
      </w:r>
      <w:r w:rsidRPr="00F009DE">
        <w:rPr>
          <w:rFonts w:eastAsia="Times New Roman" w:cstheme="minorHAnsi"/>
          <w:sz w:val="24"/>
          <w:szCs w:val="24"/>
          <w:lang w:eastAsia="pt-BR"/>
        </w:rPr>
        <w:t>.</w:t>
      </w:r>
    </w:p>
    <w:p w14:paraId="14506B8D" w14:textId="601F3732" w:rsidR="00FC7469" w:rsidRPr="00F009DE" w:rsidRDefault="00FC7469" w:rsidP="00F009DE">
      <w:pPr>
        <w:tabs>
          <w:tab w:val="left" w:pos="10348"/>
        </w:tabs>
        <w:spacing w:before="120" w:after="120"/>
        <w:ind w:left="1418"/>
        <w:jc w:val="both"/>
        <w:rPr>
          <w:rFonts w:eastAsia="Times New Roman" w:cstheme="minorHAnsi"/>
          <w:sz w:val="24"/>
          <w:szCs w:val="24"/>
          <w:lang w:eastAsia="pt-BR"/>
        </w:rPr>
      </w:pPr>
      <w:proofErr w:type="gramStart"/>
      <w:r w:rsidRPr="00F009DE">
        <w:rPr>
          <w:rFonts w:eastAsia="Times New Roman" w:cstheme="minorHAnsi"/>
          <w:sz w:val="24"/>
          <w:szCs w:val="24"/>
          <w:lang w:eastAsia="pt-BR"/>
        </w:rPr>
        <w:t xml:space="preserve">(  </w:t>
      </w:r>
      <w:proofErr w:type="gramEnd"/>
      <w:r w:rsidRPr="00F009DE">
        <w:rPr>
          <w:rFonts w:eastAsia="Times New Roman" w:cstheme="minorHAnsi"/>
          <w:sz w:val="24"/>
          <w:szCs w:val="24"/>
          <w:lang w:eastAsia="pt-BR"/>
        </w:rPr>
        <w:t xml:space="preserve">  ) </w:t>
      </w:r>
      <w:r w:rsidRPr="00F009DE">
        <w:rPr>
          <w:rFonts w:eastAsia="Times New Roman" w:cstheme="minorHAnsi"/>
          <w:b/>
          <w:sz w:val="24"/>
          <w:szCs w:val="24"/>
          <w:lang w:eastAsia="pt-BR"/>
        </w:rPr>
        <w:t>NÃO SER adequada a contratação para o atendimento da necessidade a que se destina.</w:t>
      </w:r>
    </w:p>
    <w:p w14:paraId="6C3AC2FB" w14:textId="77777777" w:rsidR="00FC7469" w:rsidRPr="00F009DE" w:rsidRDefault="00FC7469" w:rsidP="00F009DE">
      <w:pPr>
        <w:tabs>
          <w:tab w:val="left" w:pos="10348"/>
        </w:tabs>
        <w:spacing w:before="120" w:after="120" w:line="360" w:lineRule="auto"/>
        <w:ind w:left="567"/>
        <w:jc w:val="both"/>
        <w:rPr>
          <w:rFonts w:cstheme="minorHAnsi"/>
          <w:color w:val="0070C0"/>
          <w:sz w:val="20"/>
          <w:szCs w:val="20"/>
        </w:rPr>
      </w:pPr>
      <w:r w:rsidRPr="00F009DE">
        <w:rPr>
          <w:rFonts w:cstheme="minorHAnsi"/>
          <w:color w:val="0070C0"/>
          <w:sz w:val="20"/>
          <w:szCs w:val="20"/>
        </w:rPr>
        <w:t>Nota Explicativa: Preenchimento obrigatório - § 2° do art. 18 da Lei 14.133/2021.</w:t>
      </w:r>
    </w:p>
    <w:p w14:paraId="4DA3510E" w14:textId="3FA25C69" w:rsidR="00F73D6C" w:rsidRPr="00FC7469" w:rsidRDefault="00F73D6C" w:rsidP="00025840">
      <w:pPr>
        <w:tabs>
          <w:tab w:val="left" w:pos="9639"/>
          <w:tab w:val="left" w:pos="10348"/>
        </w:tabs>
        <w:ind w:right="827"/>
        <w:jc w:val="left"/>
        <w:rPr>
          <w:rFonts w:cstheme="minorHAnsi"/>
          <w:b/>
          <w:sz w:val="24"/>
          <w:szCs w:val="24"/>
        </w:rPr>
      </w:pPr>
    </w:p>
    <w:tbl>
      <w:tblPr>
        <w:tblW w:w="8931" w:type="dxa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1"/>
      </w:tblGrid>
      <w:tr w:rsidR="004A4F40" w:rsidRPr="00FC7469" w14:paraId="3956AFC5" w14:textId="77777777" w:rsidTr="00F009DE">
        <w:trPr>
          <w:trHeight w:val="638"/>
          <w:jc w:val="center"/>
        </w:trPr>
        <w:tc>
          <w:tcPr>
            <w:tcW w:w="8931" w:type="dxa"/>
            <w:shd w:val="clear" w:color="auto" w:fill="FFFFFF"/>
          </w:tcPr>
          <w:p w14:paraId="4F659B3C" w14:textId="77777777" w:rsidR="004A4F40" w:rsidRDefault="004A4F40" w:rsidP="00025840">
            <w:pPr>
              <w:tabs>
                <w:tab w:val="left" w:pos="9639"/>
                <w:tab w:val="left" w:pos="10348"/>
              </w:tabs>
              <w:ind w:right="827"/>
              <w:jc w:val="left"/>
              <w:rPr>
                <w:rFonts w:cstheme="minorHAnsi"/>
                <w:color w:val="000000"/>
              </w:rPr>
            </w:pPr>
            <w:r w:rsidRPr="00F009DE">
              <w:rPr>
                <w:rFonts w:cstheme="minorHAnsi"/>
                <w:b/>
                <w:color w:val="000000"/>
              </w:rPr>
              <w:t>Unidade Organizacional Requisitante</w:t>
            </w:r>
            <w:r w:rsidRPr="00F009DE">
              <w:rPr>
                <w:rFonts w:cstheme="minorHAnsi"/>
                <w:color w:val="000000"/>
              </w:rPr>
              <w:t>:</w:t>
            </w:r>
          </w:p>
          <w:p w14:paraId="62357F04" w14:textId="0CA9FBB2" w:rsidR="00F009DE" w:rsidRPr="00F009DE" w:rsidRDefault="00F009DE" w:rsidP="00F009DE">
            <w:pPr>
              <w:tabs>
                <w:tab w:val="left" w:pos="9639"/>
                <w:tab w:val="left" w:pos="10348"/>
              </w:tabs>
              <w:ind w:right="827"/>
              <w:rPr>
                <w:rFonts w:cstheme="minorHAnsi"/>
                <w:b/>
                <w:color w:val="000000"/>
              </w:rPr>
            </w:pPr>
          </w:p>
        </w:tc>
      </w:tr>
      <w:tr w:rsidR="00B7611D" w:rsidRPr="00FC7469" w14:paraId="33DC4B02" w14:textId="77777777" w:rsidTr="00F009DE">
        <w:trPr>
          <w:trHeight w:val="638"/>
          <w:jc w:val="center"/>
        </w:trPr>
        <w:tc>
          <w:tcPr>
            <w:tcW w:w="8931" w:type="dxa"/>
            <w:shd w:val="clear" w:color="auto" w:fill="FFFFFF"/>
          </w:tcPr>
          <w:p w14:paraId="318CD1DC" w14:textId="77777777" w:rsidR="00B7611D" w:rsidRDefault="00B7611D" w:rsidP="00025840">
            <w:pPr>
              <w:tabs>
                <w:tab w:val="left" w:pos="9639"/>
                <w:tab w:val="left" w:pos="10348"/>
              </w:tabs>
              <w:ind w:right="827"/>
              <w:jc w:val="left"/>
              <w:rPr>
                <w:rFonts w:cstheme="minorHAnsi"/>
                <w:b/>
                <w:color w:val="000000"/>
              </w:rPr>
            </w:pPr>
            <w:r w:rsidRPr="00F009DE">
              <w:rPr>
                <w:rFonts w:cstheme="minorHAnsi"/>
                <w:b/>
                <w:color w:val="000000"/>
              </w:rPr>
              <w:t xml:space="preserve">Gestor do </w:t>
            </w:r>
            <w:r w:rsidR="00774A19" w:rsidRPr="00F009DE">
              <w:rPr>
                <w:rFonts w:cstheme="minorHAnsi"/>
                <w:b/>
                <w:color w:val="000000"/>
              </w:rPr>
              <w:t>futuro c</w:t>
            </w:r>
            <w:r w:rsidRPr="00F009DE">
              <w:rPr>
                <w:rFonts w:cstheme="minorHAnsi"/>
                <w:b/>
                <w:color w:val="000000"/>
              </w:rPr>
              <w:t>ontrato</w:t>
            </w:r>
            <w:r w:rsidR="00774A19" w:rsidRPr="00F009DE">
              <w:rPr>
                <w:rFonts w:cstheme="minorHAnsi"/>
                <w:b/>
                <w:color w:val="000000"/>
              </w:rPr>
              <w:t>: (nome e matrícula)</w:t>
            </w:r>
          </w:p>
          <w:p w14:paraId="481C6261" w14:textId="00C42D8F" w:rsidR="00F009DE" w:rsidRPr="00F009DE" w:rsidRDefault="00F009DE" w:rsidP="00F009DE">
            <w:pPr>
              <w:tabs>
                <w:tab w:val="left" w:pos="9639"/>
                <w:tab w:val="left" w:pos="10348"/>
              </w:tabs>
              <w:ind w:right="827"/>
              <w:rPr>
                <w:rFonts w:cstheme="minorHAnsi"/>
                <w:b/>
                <w:color w:val="000000"/>
              </w:rPr>
            </w:pPr>
          </w:p>
        </w:tc>
      </w:tr>
      <w:tr w:rsidR="00B7611D" w:rsidRPr="00FC7469" w14:paraId="5E5CEB51" w14:textId="77777777" w:rsidTr="00F009DE">
        <w:trPr>
          <w:trHeight w:val="687"/>
          <w:jc w:val="center"/>
        </w:trPr>
        <w:tc>
          <w:tcPr>
            <w:tcW w:w="8931" w:type="dxa"/>
            <w:shd w:val="clear" w:color="auto" w:fill="FFFFFF"/>
          </w:tcPr>
          <w:p w14:paraId="1208CF2A" w14:textId="77777777" w:rsidR="00B7611D" w:rsidRDefault="00B7611D" w:rsidP="00025840">
            <w:pPr>
              <w:tabs>
                <w:tab w:val="left" w:pos="9639"/>
                <w:tab w:val="left" w:pos="10348"/>
              </w:tabs>
              <w:ind w:right="827"/>
              <w:jc w:val="left"/>
              <w:rPr>
                <w:rFonts w:cstheme="minorHAnsi"/>
                <w:b/>
                <w:color w:val="000000"/>
              </w:rPr>
            </w:pPr>
            <w:r w:rsidRPr="00F009DE">
              <w:rPr>
                <w:rFonts w:cstheme="minorHAnsi"/>
                <w:b/>
                <w:color w:val="000000"/>
              </w:rPr>
              <w:t xml:space="preserve">Integrantes da Unidade </w:t>
            </w:r>
            <w:r w:rsidR="009413F7" w:rsidRPr="00F009DE">
              <w:rPr>
                <w:rFonts w:cstheme="minorHAnsi"/>
                <w:b/>
                <w:color w:val="000000"/>
              </w:rPr>
              <w:t xml:space="preserve">Requisitante </w:t>
            </w:r>
            <w:r w:rsidRPr="00F009DE">
              <w:rPr>
                <w:rFonts w:cstheme="minorHAnsi"/>
                <w:b/>
                <w:color w:val="000000"/>
              </w:rPr>
              <w:t>(se houver)</w:t>
            </w:r>
          </w:p>
          <w:p w14:paraId="25366C03" w14:textId="495B44B4" w:rsidR="00F009DE" w:rsidRPr="00F009DE" w:rsidRDefault="00F009DE" w:rsidP="00F009DE">
            <w:pPr>
              <w:tabs>
                <w:tab w:val="left" w:pos="9639"/>
                <w:tab w:val="left" w:pos="10348"/>
              </w:tabs>
              <w:ind w:right="827"/>
              <w:rPr>
                <w:rFonts w:cstheme="minorHAnsi"/>
                <w:b/>
                <w:color w:val="000000"/>
              </w:rPr>
            </w:pPr>
          </w:p>
        </w:tc>
      </w:tr>
      <w:tr w:rsidR="00B7611D" w:rsidRPr="00FC7469" w14:paraId="6F36F232" w14:textId="77777777" w:rsidTr="00F009DE">
        <w:trPr>
          <w:trHeight w:val="633"/>
          <w:jc w:val="center"/>
        </w:trPr>
        <w:tc>
          <w:tcPr>
            <w:tcW w:w="8931" w:type="dxa"/>
            <w:shd w:val="clear" w:color="auto" w:fill="FFFFFF"/>
          </w:tcPr>
          <w:p w14:paraId="6013245B" w14:textId="77777777" w:rsidR="00B7611D" w:rsidRDefault="00B7611D" w:rsidP="00025840">
            <w:pPr>
              <w:tabs>
                <w:tab w:val="left" w:pos="9639"/>
                <w:tab w:val="left" w:pos="10348"/>
              </w:tabs>
              <w:ind w:right="827"/>
              <w:jc w:val="left"/>
              <w:rPr>
                <w:rFonts w:cstheme="minorHAnsi"/>
                <w:b/>
                <w:color w:val="000000"/>
              </w:rPr>
            </w:pPr>
            <w:r w:rsidRPr="00F009DE">
              <w:rPr>
                <w:rFonts w:cstheme="minorHAnsi"/>
                <w:b/>
                <w:color w:val="000000"/>
              </w:rPr>
              <w:t>Integrantes da Unidade Técnica (se houver)</w:t>
            </w:r>
          </w:p>
          <w:p w14:paraId="2DBC70DF" w14:textId="77777777" w:rsidR="00F009DE" w:rsidRPr="00F009DE" w:rsidRDefault="00F009DE" w:rsidP="00F009DE">
            <w:pPr>
              <w:tabs>
                <w:tab w:val="left" w:pos="9639"/>
                <w:tab w:val="left" w:pos="10348"/>
              </w:tabs>
              <w:ind w:right="827"/>
              <w:rPr>
                <w:rFonts w:cstheme="minorHAnsi"/>
                <w:b/>
                <w:color w:val="000000"/>
              </w:rPr>
            </w:pPr>
          </w:p>
        </w:tc>
      </w:tr>
    </w:tbl>
    <w:p w14:paraId="1F406995" w14:textId="77CB02F4" w:rsidR="00866C45" w:rsidRDefault="00866C45" w:rsidP="00025840">
      <w:pPr>
        <w:tabs>
          <w:tab w:val="left" w:pos="9639"/>
          <w:tab w:val="left" w:pos="10348"/>
        </w:tabs>
        <w:ind w:right="827"/>
        <w:jc w:val="both"/>
        <w:rPr>
          <w:rFonts w:cstheme="minorHAnsi"/>
          <w:b/>
          <w:sz w:val="24"/>
          <w:szCs w:val="24"/>
        </w:rPr>
      </w:pPr>
    </w:p>
    <w:p w14:paraId="423D3603" w14:textId="414DF62B" w:rsidR="00607D90" w:rsidRPr="00FC7469" w:rsidRDefault="00607D90" w:rsidP="00025840">
      <w:pPr>
        <w:tabs>
          <w:tab w:val="left" w:pos="10348"/>
        </w:tabs>
        <w:ind w:right="118"/>
        <w:rPr>
          <w:rFonts w:cstheme="minorHAnsi"/>
          <w:b/>
          <w:sz w:val="24"/>
          <w:szCs w:val="24"/>
        </w:rPr>
      </w:pPr>
      <w:r w:rsidRPr="00FC7469">
        <w:rPr>
          <w:rFonts w:cstheme="minorHAnsi"/>
          <w:sz w:val="24"/>
          <w:szCs w:val="24"/>
        </w:rPr>
        <w:t xml:space="preserve">Rio de Janeiro, ___ de ________________ </w:t>
      </w:r>
      <w:proofErr w:type="spellStart"/>
      <w:r w:rsidRPr="00FC7469">
        <w:rPr>
          <w:rFonts w:cstheme="minorHAnsi"/>
          <w:sz w:val="24"/>
          <w:szCs w:val="24"/>
        </w:rPr>
        <w:t>de</w:t>
      </w:r>
      <w:proofErr w:type="spellEnd"/>
      <w:r w:rsidRPr="00FC7469">
        <w:rPr>
          <w:rFonts w:cstheme="minorHAnsi"/>
          <w:sz w:val="24"/>
          <w:szCs w:val="24"/>
        </w:rPr>
        <w:t xml:space="preserve"> ______.</w:t>
      </w:r>
    </w:p>
    <w:sectPr w:rsidR="00607D90" w:rsidRPr="00FC7469" w:rsidSect="000A4DC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659" w:right="424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EF28F" w14:textId="77777777" w:rsidR="007672AA" w:rsidRDefault="007672AA" w:rsidP="00CF28B4">
      <w:r>
        <w:separator/>
      </w:r>
    </w:p>
  </w:endnote>
  <w:endnote w:type="continuationSeparator" w:id="0">
    <w:p w14:paraId="4DF4FAD1" w14:textId="77777777" w:rsidR="007672AA" w:rsidRDefault="007672AA" w:rsidP="00CF2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e Ecológica Spranq">
    <w:altName w:val="Calibri"/>
    <w:charset w:val="00"/>
    <w:family w:val="swiss"/>
    <w:pitch w:val="variable"/>
    <w:sig w:usb0="800000AF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4"/>
      <w:gridCol w:w="2582"/>
      <w:gridCol w:w="2600"/>
      <w:gridCol w:w="2582"/>
    </w:tblGrid>
    <w:tr w:rsidR="00F009DE" w:rsidRPr="00DE5FEB" w14:paraId="0FC750AD" w14:textId="77777777" w:rsidTr="00F009DE">
      <w:tc>
        <w:tcPr>
          <w:tcW w:w="2584" w:type="dxa"/>
        </w:tcPr>
        <w:p w14:paraId="644F7F9D" w14:textId="7E235DD0" w:rsidR="00F009DE" w:rsidRPr="00DE5FEB" w:rsidRDefault="00F009DE" w:rsidP="00987866">
          <w:pPr>
            <w:pStyle w:val="Rodap"/>
            <w:jc w:val="left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FRM-SGLOG-092-</w:t>
          </w:r>
          <w:r w:rsidR="00987866">
            <w:rPr>
              <w:b/>
              <w:bCs/>
              <w:color w:val="002060"/>
              <w:sz w:val="16"/>
              <w:szCs w:val="16"/>
            </w:rPr>
            <w:t>07</w:t>
          </w:r>
        </w:p>
      </w:tc>
      <w:tc>
        <w:tcPr>
          <w:tcW w:w="2582" w:type="dxa"/>
        </w:tcPr>
        <w:p w14:paraId="58DF9C26" w14:textId="77777777" w:rsidR="00F009DE" w:rsidRPr="00DE5FEB" w:rsidRDefault="00F009DE" w:rsidP="00F009DE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Rev.00</w:t>
          </w:r>
        </w:p>
      </w:tc>
      <w:tc>
        <w:tcPr>
          <w:tcW w:w="2600" w:type="dxa"/>
        </w:tcPr>
        <w:p w14:paraId="15765026" w14:textId="6FDFFE63" w:rsidR="00F009DE" w:rsidRPr="00DE5FEB" w:rsidRDefault="00F009DE" w:rsidP="00F009DE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Data: </w:t>
          </w:r>
          <w:r w:rsidR="00987866">
            <w:rPr>
              <w:b/>
              <w:bCs/>
              <w:color w:val="002060"/>
              <w:sz w:val="16"/>
              <w:szCs w:val="16"/>
            </w:rPr>
            <w:t>10/06</w:t>
          </w:r>
          <w:r w:rsidRPr="00DE5FEB">
            <w:rPr>
              <w:b/>
              <w:bCs/>
              <w:color w:val="002060"/>
              <w:sz w:val="16"/>
              <w:szCs w:val="16"/>
            </w:rPr>
            <w:t>/2026</w:t>
          </w:r>
        </w:p>
      </w:tc>
      <w:tc>
        <w:tcPr>
          <w:tcW w:w="2582" w:type="dxa"/>
        </w:tcPr>
        <w:p w14:paraId="76ED7C52" w14:textId="77777777" w:rsidR="00F009DE" w:rsidRPr="00DE5FEB" w:rsidRDefault="00F009DE" w:rsidP="00F009DE">
          <w:pPr>
            <w:pStyle w:val="Rodap"/>
            <w:jc w:val="right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Página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1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  <w:r w:rsidRPr="00DE5FEB">
            <w:rPr>
              <w:b/>
              <w:bCs/>
              <w:color w:val="002060"/>
              <w:sz w:val="16"/>
              <w:szCs w:val="16"/>
            </w:rPr>
            <w:t xml:space="preserve"> de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2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657CB8CF" w14:textId="77777777" w:rsidR="00EF696A" w:rsidRPr="00F009DE" w:rsidRDefault="00EF696A" w:rsidP="00F009DE">
    <w:pPr>
      <w:pStyle w:val="Rodap"/>
      <w:jc w:val="both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84"/>
      <w:gridCol w:w="2582"/>
      <w:gridCol w:w="2600"/>
      <w:gridCol w:w="2582"/>
    </w:tblGrid>
    <w:tr w:rsidR="00F009DE" w:rsidRPr="00DE5FEB" w14:paraId="30F0EEEF" w14:textId="77777777" w:rsidTr="00AE43DB">
      <w:tc>
        <w:tcPr>
          <w:tcW w:w="2688" w:type="dxa"/>
        </w:tcPr>
        <w:p w14:paraId="4231AEFC" w14:textId="7766CB37" w:rsidR="00F009DE" w:rsidRPr="00DE5FEB" w:rsidRDefault="00F009DE" w:rsidP="00987866">
          <w:pPr>
            <w:pStyle w:val="Rodap"/>
            <w:jc w:val="left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FRM-SGLOG-092-</w:t>
          </w:r>
          <w:r w:rsidR="00987866">
            <w:rPr>
              <w:b/>
              <w:bCs/>
              <w:color w:val="002060"/>
              <w:sz w:val="16"/>
              <w:szCs w:val="16"/>
            </w:rPr>
            <w:t>07</w:t>
          </w:r>
        </w:p>
      </w:tc>
      <w:tc>
        <w:tcPr>
          <w:tcW w:w="2688" w:type="dxa"/>
        </w:tcPr>
        <w:p w14:paraId="0712D14B" w14:textId="77777777" w:rsidR="00F009DE" w:rsidRPr="00DE5FEB" w:rsidRDefault="00F009DE" w:rsidP="00F009DE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>Rev.00</w:t>
          </w:r>
        </w:p>
      </w:tc>
      <w:tc>
        <w:tcPr>
          <w:tcW w:w="2688" w:type="dxa"/>
        </w:tcPr>
        <w:p w14:paraId="77F3D241" w14:textId="6F811EE0" w:rsidR="00F009DE" w:rsidRPr="00DE5FEB" w:rsidRDefault="00F009DE" w:rsidP="00F009DE">
          <w:pPr>
            <w:pStyle w:val="Rodap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Data: </w:t>
          </w:r>
          <w:r w:rsidR="00987866">
            <w:rPr>
              <w:b/>
              <w:bCs/>
              <w:color w:val="002060"/>
              <w:sz w:val="16"/>
              <w:szCs w:val="16"/>
            </w:rPr>
            <w:t>10/06</w:t>
          </w:r>
          <w:r w:rsidRPr="00DE5FEB">
            <w:rPr>
              <w:b/>
              <w:bCs/>
              <w:color w:val="002060"/>
              <w:sz w:val="16"/>
              <w:szCs w:val="16"/>
            </w:rPr>
            <w:t>/2026</w:t>
          </w:r>
        </w:p>
      </w:tc>
      <w:tc>
        <w:tcPr>
          <w:tcW w:w="2688" w:type="dxa"/>
        </w:tcPr>
        <w:p w14:paraId="5FD607AA" w14:textId="77777777" w:rsidR="00F009DE" w:rsidRPr="00DE5FEB" w:rsidRDefault="00F009DE" w:rsidP="00F009DE">
          <w:pPr>
            <w:pStyle w:val="Rodap"/>
            <w:jc w:val="right"/>
            <w:rPr>
              <w:b/>
              <w:bCs/>
              <w:color w:val="002060"/>
              <w:sz w:val="16"/>
              <w:szCs w:val="16"/>
            </w:rPr>
          </w:pPr>
          <w:r w:rsidRPr="00DE5FEB">
            <w:rPr>
              <w:b/>
              <w:bCs/>
              <w:color w:val="002060"/>
              <w:sz w:val="16"/>
              <w:szCs w:val="16"/>
            </w:rPr>
            <w:t xml:space="preserve">Página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1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  <w:r w:rsidRPr="00DE5FEB">
            <w:rPr>
              <w:b/>
              <w:bCs/>
              <w:color w:val="002060"/>
              <w:sz w:val="16"/>
              <w:szCs w:val="16"/>
            </w:rPr>
            <w:t xml:space="preserve"> de 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begin"/>
          </w:r>
          <w:r w:rsidRPr="00DE5FEB">
            <w:rPr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separate"/>
          </w:r>
          <w:r w:rsidRPr="00DE5FEB">
            <w:rPr>
              <w:b/>
              <w:bCs/>
              <w:color w:val="002060"/>
              <w:sz w:val="16"/>
              <w:szCs w:val="16"/>
            </w:rPr>
            <w:t>2</w:t>
          </w:r>
          <w:r w:rsidRPr="00DE5FEB">
            <w:rPr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370B2906" w14:textId="77777777" w:rsidR="00F009DE" w:rsidRPr="00F009DE" w:rsidRDefault="00F009DE" w:rsidP="00F009DE">
    <w:pPr>
      <w:pStyle w:val="Rodap"/>
      <w:jc w:val="both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A880A" w14:textId="77777777" w:rsidR="007672AA" w:rsidRDefault="007672AA" w:rsidP="00CF28B4">
      <w:r>
        <w:separator/>
      </w:r>
    </w:p>
  </w:footnote>
  <w:footnote w:type="continuationSeparator" w:id="0">
    <w:p w14:paraId="3A52C904" w14:textId="77777777" w:rsidR="007672AA" w:rsidRDefault="007672AA" w:rsidP="00CF2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4" w:type="dxa"/>
      <w:tblInd w:w="544" w:type="dxa"/>
      <w:tblBorders>
        <w:bottom w:val="single" w:sz="18" w:space="0" w:color="244061" w:themeColor="accent1" w:themeShade="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804"/>
    </w:tblGrid>
    <w:tr w:rsidR="00F009DE" w:rsidRPr="00743F9C" w14:paraId="62BD3C93" w14:textId="77777777" w:rsidTr="00E4133C">
      <w:trPr>
        <w:cantSplit/>
        <w:trHeight w:val="947"/>
      </w:trPr>
      <w:tc>
        <w:tcPr>
          <w:tcW w:w="9804" w:type="dxa"/>
          <w:vAlign w:val="center"/>
        </w:tcPr>
        <w:p w14:paraId="073FA620" w14:textId="77777777" w:rsidR="00F009DE" w:rsidRPr="00025840" w:rsidRDefault="00F009DE" w:rsidP="00025840">
          <w:pPr>
            <w:spacing w:before="120"/>
            <w:rPr>
              <w:rFonts w:cstheme="minorHAnsi"/>
              <w:bCs/>
              <w:sz w:val="24"/>
              <w:szCs w:val="24"/>
            </w:rPr>
          </w:pPr>
          <w:r w:rsidRPr="00025840">
            <w:rPr>
              <w:rFonts w:cstheme="minorHAnsi"/>
              <w:bCs/>
              <w:sz w:val="24"/>
              <w:szCs w:val="24"/>
            </w:rPr>
            <w:t xml:space="preserve">ESTUDO TÉCNICO PREMILINAR - </w:t>
          </w:r>
          <w:r w:rsidRPr="00025840">
            <w:rPr>
              <w:rFonts w:cstheme="minorHAnsi"/>
              <w:b/>
              <w:sz w:val="24"/>
              <w:szCs w:val="24"/>
            </w:rPr>
            <w:t>ETP</w:t>
          </w:r>
        </w:p>
        <w:p w14:paraId="2CA22048" w14:textId="2FD4C888" w:rsidR="00F009DE" w:rsidRPr="00743F9C" w:rsidRDefault="00F009DE" w:rsidP="00025840">
          <w:pPr>
            <w:rPr>
              <w:rFonts w:ascii="Calibri" w:hAnsi="Calibri" w:cs="Calibri"/>
              <w:b/>
              <w:bCs/>
              <w:sz w:val="18"/>
            </w:rPr>
          </w:pPr>
          <w:r w:rsidRPr="00025840">
            <w:rPr>
              <w:rFonts w:cstheme="minorHAnsi"/>
              <w:bCs/>
              <w:sz w:val="24"/>
              <w:szCs w:val="24"/>
            </w:rPr>
            <w:t>CONTRATAÇÃO DE SERVIÇO ESPECIAL DE ENGENHARIA</w:t>
          </w:r>
        </w:p>
      </w:tc>
    </w:tr>
  </w:tbl>
  <w:p w14:paraId="10CE56DE" w14:textId="2C91AD08" w:rsidR="0016437F" w:rsidRPr="005E186E" w:rsidRDefault="0016437F" w:rsidP="000A4DC8">
    <w:pPr>
      <w:tabs>
        <w:tab w:val="left" w:pos="0"/>
        <w:tab w:val="center" w:pos="5233"/>
      </w:tabs>
      <w:spacing w:before="60" w:after="60"/>
      <w:rPr>
        <w:b/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8" w:type="dxa"/>
      <w:tblBorders>
        <w:bottom w:val="single" w:sz="18" w:space="0" w:color="244061" w:themeColor="accent1" w:themeShade="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8"/>
      <w:gridCol w:w="8930"/>
    </w:tblGrid>
    <w:tr w:rsidR="00F009DE" w:rsidRPr="00743F9C" w14:paraId="3725ACB4" w14:textId="77777777" w:rsidTr="00F009DE">
      <w:trPr>
        <w:cantSplit/>
        <w:trHeight w:val="947"/>
      </w:trPr>
      <w:tc>
        <w:tcPr>
          <w:tcW w:w="1418" w:type="dxa"/>
          <w:vAlign w:val="center"/>
        </w:tcPr>
        <w:p w14:paraId="2A0F810D" w14:textId="77777777" w:rsidR="00F009DE" w:rsidRPr="006D1C1F" w:rsidRDefault="00F009DE" w:rsidP="00F009DE">
          <w:pPr>
            <w:rPr>
              <w:rFonts w:ascii="Fonte Ecológica Spranq" w:hAnsi="Fonte Ecológica Spranq"/>
            </w:rPr>
          </w:pPr>
          <w:r w:rsidRPr="006D1C1F">
            <w:rPr>
              <w:rFonts w:ascii="Fonte Ecológica Spranq" w:hAnsi="Fonte Ecológica Spranq"/>
              <w:noProof/>
              <w:sz w:val="16"/>
              <w:szCs w:val="16"/>
              <w:lang w:eastAsia="pt-BR"/>
            </w:rPr>
            <w:drawing>
              <wp:inline distT="0" distB="0" distL="0" distR="0" wp14:anchorId="3B5F462A" wp14:editId="51138BC1">
                <wp:extent cx="481965" cy="481965"/>
                <wp:effectExtent l="0" t="0" r="0" b="0"/>
                <wp:docPr id="1161969967" name="Imagem 11619699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1965" cy="481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vAlign w:val="center"/>
        </w:tcPr>
        <w:p w14:paraId="2FD6A13F" w14:textId="77777777" w:rsidR="00F009DE" w:rsidRPr="00DE5FEB" w:rsidRDefault="00F009DE" w:rsidP="00F009DE">
          <w:pPr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>TRIBUNAL DE JUSTIÇA DO ESTADO DO RIO DE JANEIRO</w:t>
          </w:r>
          <w:r>
            <w:rPr>
              <w:rFonts w:cstheme="minorHAnsi"/>
              <w:bCs/>
              <w:sz w:val="24"/>
              <w:szCs w:val="24"/>
            </w:rPr>
            <w:t xml:space="preserve"> - </w:t>
          </w:r>
          <w:r w:rsidRPr="00DE5FEB">
            <w:rPr>
              <w:rFonts w:cstheme="minorHAnsi"/>
              <w:b/>
              <w:sz w:val="24"/>
              <w:szCs w:val="24"/>
            </w:rPr>
            <w:t>TJRJ</w:t>
          </w:r>
        </w:p>
        <w:p w14:paraId="57F4B957" w14:textId="77777777" w:rsidR="00F009DE" w:rsidRPr="00DE5FEB" w:rsidRDefault="00F009DE" w:rsidP="00F009DE">
          <w:pPr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>SECRETARIA-GERAL DE LOGÍSTICA</w:t>
          </w:r>
          <w:r>
            <w:rPr>
              <w:rFonts w:cstheme="minorHAnsi"/>
              <w:bCs/>
              <w:sz w:val="24"/>
              <w:szCs w:val="24"/>
            </w:rPr>
            <w:t xml:space="preserve"> - </w:t>
          </w:r>
          <w:r w:rsidRPr="00DE5FEB">
            <w:rPr>
              <w:rFonts w:cstheme="minorHAnsi"/>
              <w:b/>
              <w:sz w:val="24"/>
              <w:szCs w:val="24"/>
            </w:rPr>
            <w:t>SGLOG</w:t>
          </w:r>
        </w:p>
        <w:p w14:paraId="62771512" w14:textId="77777777" w:rsidR="00F009DE" w:rsidRPr="00DE5FEB" w:rsidRDefault="00F009DE" w:rsidP="00F009DE">
          <w:pPr>
            <w:rPr>
              <w:rFonts w:cstheme="minorHAnsi"/>
              <w:bCs/>
              <w:sz w:val="24"/>
              <w:szCs w:val="24"/>
            </w:rPr>
          </w:pPr>
          <w:r w:rsidRPr="00DE5FEB">
            <w:rPr>
              <w:rFonts w:cstheme="minorHAnsi"/>
              <w:bCs/>
              <w:sz w:val="24"/>
              <w:szCs w:val="24"/>
            </w:rPr>
            <w:t xml:space="preserve">DEPARTAMENTO DE ENGENHARIA </w:t>
          </w:r>
          <w:r>
            <w:rPr>
              <w:rFonts w:cstheme="minorHAnsi"/>
              <w:bCs/>
              <w:sz w:val="24"/>
              <w:szCs w:val="24"/>
            </w:rPr>
            <w:t xml:space="preserve">- </w:t>
          </w:r>
          <w:r w:rsidRPr="00DE5FEB">
            <w:rPr>
              <w:rFonts w:cstheme="minorHAnsi"/>
              <w:b/>
              <w:sz w:val="24"/>
              <w:szCs w:val="24"/>
            </w:rPr>
            <w:t>DEENG</w:t>
          </w:r>
        </w:p>
        <w:p w14:paraId="0D7044E9" w14:textId="77777777" w:rsidR="00F009DE" w:rsidRPr="00025840" w:rsidRDefault="00F009DE" w:rsidP="00F009DE">
          <w:pPr>
            <w:spacing w:before="120"/>
            <w:rPr>
              <w:rFonts w:cstheme="minorHAnsi"/>
              <w:bCs/>
              <w:sz w:val="24"/>
              <w:szCs w:val="24"/>
            </w:rPr>
          </w:pPr>
          <w:r w:rsidRPr="00025840">
            <w:rPr>
              <w:rFonts w:cstheme="minorHAnsi"/>
              <w:bCs/>
              <w:sz w:val="24"/>
              <w:szCs w:val="24"/>
            </w:rPr>
            <w:t xml:space="preserve">ESTUDO TÉCNICO PREMILINAR - </w:t>
          </w:r>
          <w:r w:rsidRPr="00025840">
            <w:rPr>
              <w:rFonts w:cstheme="minorHAnsi"/>
              <w:b/>
              <w:sz w:val="24"/>
              <w:szCs w:val="24"/>
            </w:rPr>
            <w:t>ETP</w:t>
          </w:r>
        </w:p>
        <w:p w14:paraId="27104B4E" w14:textId="77777777" w:rsidR="00F009DE" w:rsidRPr="00743F9C" w:rsidRDefault="00F009DE" w:rsidP="00F009DE">
          <w:pPr>
            <w:rPr>
              <w:rFonts w:ascii="Calibri" w:hAnsi="Calibri" w:cs="Calibri"/>
              <w:b/>
              <w:bCs/>
              <w:sz w:val="18"/>
            </w:rPr>
          </w:pPr>
          <w:r w:rsidRPr="00025840">
            <w:rPr>
              <w:rFonts w:cstheme="minorHAnsi"/>
              <w:bCs/>
              <w:sz w:val="24"/>
              <w:szCs w:val="24"/>
            </w:rPr>
            <w:t>CONTRATAÇÃO DE SERVIÇO ESPECIAL DE ENGENHARIA</w:t>
          </w:r>
        </w:p>
      </w:tc>
    </w:tr>
  </w:tbl>
  <w:p w14:paraId="4CABD5AA" w14:textId="46DCD988" w:rsidR="00F009DE" w:rsidRPr="00F009DE" w:rsidRDefault="00F009DE" w:rsidP="00F009DE">
    <w:pPr>
      <w:pStyle w:val="Cabealho"/>
      <w:spacing w:before="60" w:after="60"/>
      <w:rPr>
        <w:b/>
        <w:sz w:val="10"/>
        <w:szCs w:val="10"/>
      </w:rPr>
    </w:pPr>
    <w:bookmarkStart w:id="0" w:name="_Hlk226736646"/>
    <w:r w:rsidRPr="00DE5FEB">
      <w:rPr>
        <w:rFonts w:cstheme="minorHAnsi"/>
        <w:b/>
        <w:color w:val="C00000"/>
        <w:sz w:val="20"/>
        <w:szCs w:val="20"/>
      </w:rPr>
      <w:t xml:space="preserve">IMPORTANTE: Sempre verifique no </w:t>
    </w:r>
    <w:r w:rsidRPr="00DE5FEB">
      <w:rPr>
        <w:rFonts w:cstheme="minorHAnsi"/>
        <w:b/>
        <w:i/>
        <w:iCs/>
        <w:color w:val="C00000"/>
        <w:sz w:val="20"/>
        <w:szCs w:val="20"/>
      </w:rPr>
      <w:t>site</w:t>
    </w:r>
    <w:r w:rsidRPr="00DE5FEB">
      <w:rPr>
        <w:rFonts w:cstheme="minorHAnsi"/>
        <w:b/>
        <w:color w:val="C00000"/>
        <w:sz w:val="20"/>
        <w:szCs w:val="20"/>
      </w:rPr>
      <w:t xml:space="preserve"> do TJRJ se a versão impressa do documento está atualizada.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F47F3"/>
    <w:multiLevelType w:val="hybridMultilevel"/>
    <w:tmpl w:val="DB2E2858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9AA4738"/>
    <w:multiLevelType w:val="hybridMultilevel"/>
    <w:tmpl w:val="E54E5D14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B8F037B"/>
    <w:multiLevelType w:val="hybridMultilevel"/>
    <w:tmpl w:val="81ECCD84"/>
    <w:lvl w:ilvl="0" w:tplc="F4C2819A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1CF17775"/>
    <w:multiLevelType w:val="hybridMultilevel"/>
    <w:tmpl w:val="1EFE7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2C5879"/>
    <w:multiLevelType w:val="multilevel"/>
    <w:tmpl w:val="CA9679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279AB"/>
    <w:multiLevelType w:val="hybridMultilevel"/>
    <w:tmpl w:val="D7CE7C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555067"/>
    <w:multiLevelType w:val="hybridMultilevel"/>
    <w:tmpl w:val="66AEAEEA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3656075"/>
    <w:multiLevelType w:val="hybridMultilevel"/>
    <w:tmpl w:val="70F856C0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4350272"/>
    <w:multiLevelType w:val="hybridMultilevel"/>
    <w:tmpl w:val="E0022CF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65D5A3A"/>
    <w:multiLevelType w:val="hybridMultilevel"/>
    <w:tmpl w:val="58BC8DF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BE04B47"/>
    <w:multiLevelType w:val="hybridMultilevel"/>
    <w:tmpl w:val="2C2E700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F260C8"/>
    <w:multiLevelType w:val="hybridMultilevel"/>
    <w:tmpl w:val="3E887AF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B250849"/>
    <w:multiLevelType w:val="hybridMultilevel"/>
    <w:tmpl w:val="FF1A1582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D922FB2"/>
    <w:multiLevelType w:val="hybridMultilevel"/>
    <w:tmpl w:val="1AC6726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FC2B6D"/>
    <w:multiLevelType w:val="hybridMultilevel"/>
    <w:tmpl w:val="562E9036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833BC2"/>
    <w:multiLevelType w:val="hybridMultilevel"/>
    <w:tmpl w:val="7A64B08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C03D9"/>
    <w:multiLevelType w:val="hybridMultilevel"/>
    <w:tmpl w:val="02D4C49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 w15:restartNumberingAfterBreak="0">
    <w:nsid w:val="658E3E3B"/>
    <w:multiLevelType w:val="hybridMultilevel"/>
    <w:tmpl w:val="25580B5E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9A53888"/>
    <w:multiLevelType w:val="hybridMultilevel"/>
    <w:tmpl w:val="E5DA935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0763F0E"/>
    <w:multiLevelType w:val="hybridMultilevel"/>
    <w:tmpl w:val="6FA6B2A8"/>
    <w:lvl w:ilvl="0" w:tplc="0F68792E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C699E"/>
    <w:multiLevelType w:val="hybridMultilevel"/>
    <w:tmpl w:val="383489F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7AA908B9"/>
    <w:multiLevelType w:val="multilevel"/>
    <w:tmpl w:val="2E5CE9C4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4688" w:hanging="576"/>
      </w:pPr>
      <w:rPr>
        <w:b/>
        <w:bCs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ascii="Fonte Ecológica Spranq" w:hAnsi="Fonte Ecológica Spranq" w:hint="default"/>
        <w:sz w:val="18"/>
        <w:szCs w:val="18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139570758">
    <w:abstractNumId w:val="19"/>
  </w:num>
  <w:num w:numId="2" w16cid:durableId="427311032">
    <w:abstractNumId w:val="21"/>
  </w:num>
  <w:num w:numId="3" w16cid:durableId="343244576">
    <w:abstractNumId w:val="4"/>
  </w:num>
  <w:num w:numId="4" w16cid:durableId="15273248">
    <w:abstractNumId w:val="13"/>
  </w:num>
  <w:num w:numId="5" w16cid:durableId="1891500806">
    <w:abstractNumId w:val="11"/>
  </w:num>
  <w:num w:numId="6" w16cid:durableId="523061526">
    <w:abstractNumId w:val="15"/>
  </w:num>
  <w:num w:numId="7" w16cid:durableId="279722445">
    <w:abstractNumId w:val="3"/>
  </w:num>
  <w:num w:numId="8" w16cid:durableId="1671331596">
    <w:abstractNumId w:val="5"/>
  </w:num>
  <w:num w:numId="9" w16cid:durableId="1825511759">
    <w:abstractNumId w:val="12"/>
  </w:num>
  <w:num w:numId="10" w16cid:durableId="1329678121">
    <w:abstractNumId w:val="6"/>
  </w:num>
  <w:num w:numId="11" w16cid:durableId="1466193316">
    <w:abstractNumId w:val="0"/>
  </w:num>
  <w:num w:numId="12" w16cid:durableId="928001747">
    <w:abstractNumId w:val="20"/>
  </w:num>
  <w:num w:numId="13" w16cid:durableId="1278025090">
    <w:abstractNumId w:val="14"/>
  </w:num>
  <w:num w:numId="14" w16cid:durableId="1387948312">
    <w:abstractNumId w:val="18"/>
  </w:num>
  <w:num w:numId="15" w16cid:durableId="1019812935">
    <w:abstractNumId w:val="8"/>
  </w:num>
  <w:num w:numId="16" w16cid:durableId="1892231678">
    <w:abstractNumId w:val="7"/>
  </w:num>
  <w:num w:numId="17" w16cid:durableId="373700479">
    <w:abstractNumId w:val="9"/>
  </w:num>
  <w:num w:numId="18" w16cid:durableId="1597210090">
    <w:abstractNumId w:val="10"/>
  </w:num>
  <w:num w:numId="19" w16cid:durableId="1529220812">
    <w:abstractNumId w:val="17"/>
  </w:num>
  <w:num w:numId="20" w16cid:durableId="1099643357">
    <w:abstractNumId w:val="1"/>
  </w:num>
  <w:num w:numId="21" w16cid:durableId="452946486">
    <w:abstractNumId w:val="16"/>
  </w:num>
  <w:num w:numId="22" w16cid:durableId="553009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8B4"/>
    <w:rsid w:val="0000406D"/>
    <w:rsid w:val="000062FF"/>
    <w:rsid w:val="000150DA"/>
    <w:rsid w:val="000162F3"/>
    <w:rsid w:val="000167F4"/>
    <w:rsid w:val="00025840"/>
    <w:rsid w:val="00030186"/>
    <w:rsid w:val="0003176F"/>
    <w:rsid w:val="00032535"/>
    <w:rsid w:val="000374CB"/>
    <w:rsid w:val="00046B58"/>
    <w:rsid w:val="00063E9E"/>
    <w:rsid w:val="00064CE9"/>
    <w:rsid w:val="00071240"/>
    <w:rsid w:val="00074530"/>
    <w:rsid w:val="00087AD9"/>
    <w:rsid w:val="00091A4D"/>
    <w:rsid w:val="000926D5"/>
    <w:rsid w:val="00095ED5"/>
    <w:rsid w:val="00097B6F"/>
    <w:rsid w:val="000A4DC8"/>
    <w:rsid w:val="000C12AD"/>
    <w:rsid w:val="000C30C5"/>
    <w:rsid w:val="000C67A6"/>
    <w:rsid w:val="000C7DC3"/>
    <w:rsid w:val="000E7C6B"/>
    <w:rsid w:val="0011312A"/>
    <w:rsid w:val="00141E56"/>
    <w:rsid w:val="00147C33"/>
    <w:rsid w:val="00155A98"/>
    <w:rsid w:val="00160307"/>
    <w:rsid w:val="0016437F"/>
    <w:rsid w:val="00176117"/>
    <w:rsid w:val="001C081D"/>
    <w:rsid w:val="001C7C88"/>
    <w:rsid w:val="001E1D07"/>
    <w:rsid w:val="001F1A82"/>
    <w:rsid w:val="00200ACB"/>
    <w:rsid w:val="002019DD"/>
    <w:rsid w:val="00204503"/>
    <w:rsid w:val="002075ED"/>
    <w:rsid w:val="00210EC4"/>
    <w:rsid w:val="00213F2A"/>
    <w:rsid w:val="002317D9"/>
    <w:rsid w:val="00246DE1"/>
    <w:rsid w:val="0025528A"/>
    <w:rsid w:val="00261D5B"/>
    <w:rsid w:val="00272C97"/>
    <w:rsid w:val="00281852"/>
    <w:rsid w:val="00284F47"/>
    <w:rsid w:val="002A4017"/>
    <w:rsid w:val="002B5F47"/>
    <w:rsid w:val="002B6181"/>
    <w:rsid w:val="002B7455"/>
    <w:rsid w:val="002C2389"/>
    <w:rsid w:val="002C4C82"/>
    <w:rsid w:val="002C6804"/>
    <w:rsid w:val="002D158C"/>
    <w:rsid w:val="002D2FEB"/>
    <w:rsid w:val="002E5CB0"/>
    <w:rsid w:val="002E62AD"/>
    <w:rsid w:val="002F6858"/>
    <w:rsid w:val="00302DE7"/>
    <w:rsid w:val="0030311F"/>
    <w:rsid w:val="00315753"/>
    <w:rsid w:val="00324FA6"/>
    <w:rsid w:val="003329A4"/>
    <w:rsid w:val="0036180F"/>
    <w:rsid w:val="00362D6A"/>
    <w:rsid w:val="00373DF2"/>
    <w:rsid w:val="0037596E"/>
    <w:rsid w:val="00386220"/>
    <w:rsid w:val="003A2E0D"/>
    <w:rsid w:val="003B4E38"/>
    <w:rsid w:val="003C2942"/>
    <w:rsid w:val="003D0C51"/>
    <w:rsid w:val="003D5029"/>
    <w:rsid w:val="003F0058"/>
    <w:rsid w:val="003F58F6"/>
    <w:rsid w:val="004048A9"/>
    <w:rsid w:val="00405514"/>
    <w:rsid w:val="00415011"/>
    <w:rsid w:val="00430E91"/>
    <w:rsid w:val="004606AE"/>
    <w:rsid w:val="00460745"/>
    <w:rsid w:val="00467DC3"/>
    <w:rsid w:val="00475FC4"/>
    <w:rsid w:val="004765BD"/>
    <w:rsid w:val="00481D33"/>
    <w:rsid w:val="004837C9"/>
    <w:rsid w:val="00492908"/>
    <w:rsid w:val="004A1C84"/>
    <w:rsid w:val="004A4F40"/>
    <w:rsid w:val="004B6FA9"/>
    <w:rsid w:val="004D60C8"/>
    <w:rsid w:val="004F0F0A"/>
    <w:rsid w:val="005006A8"/>
    <w:rsid w:val="00526E0C"/>
    <w:rsid w:val="005529B6"/>
    <w:rsid w:val="005671F4"/>
    <w:rsid w:val="00591F0F"/>
    <w:rsid w:val="00591FF2"/>
    <w:rsid w:val="005B371A"/>
    <w:rsid w:val="005C5992"/>
    <w:rsid w:val="005D21C8"/>
    <w:rsid w:val="005E186E"/>
    <w:rsid w:val="006038E9"/>
    <w:rsid w:val="006066C8"/>
    <w:rsid w:val="0060687F"/>
    <w:rsid w:val="00607D90"/>
    <w:rsid w:val="0061183C"/>
    <w:rsid w:val="00622E8A"/>
    <w:rsid w:val="00624C2E"/>
    <w:rsid w:val="00636B9B"/>
    <w:rsid w:val="006423E6"/>
    <w:rsid w:val="006733A7"/>
    <w:rsid w:val="00685E51"/>
    <w:rsid w:val="006933F5"/>
    <w:rsid w:val="006A183B"/>
    <w:rsid w:val="006B70CB"/>
    <w:rsid w:val="006C69C5"/>
    <w:rsid w:val="006D3BB1"/>
    <w:rsid w:val="006D41BC"/>
    <w:rsid w:val="006E27FD"/>
    <w:rsid w:val="006F0F1D"/>
    <w:rsid w:val="006F6B7E"/>
    <w:rsid w:val="00700AAA"/>
    <w:rsid w:val="007028F0"/>
    <w:rsid w:val="0070732D"/>
    <w:rsid w:val="00717679"/>
    <w:rsid w:val="00733215"/>
    <w:rsid w:val="00757C5B"/>
    <w:rsid w:val="00761C35"/>
    <w:rsid w:val="007672AA"/>
    <w:rsid w:val="00774A19"/>
    <w:rsid w:val="00797403"/>
    <w:rsid w:val="007B22CA"/>
    <w:rsid w:val="007B4EDF"/>
    <w:rsid w:val="007C248C"/>
    <w:rsid w:val="007D1F74"/>
    <w:rsid w:val="007D7964"/>
    <w:rsid w:val="007F0670"/>
    <w:rsid w:val="007F59EC"/>
    <w:rsid w:val="00801F24"/>
    <w:rsid w:val="008063C0"/>
    <w:rsid w:val="00811D1E"/>
    <w:rsid w:val="00811E62"/>
    <w:rsid w:val="00833D5C"/>
    <w:rsid w:val="00836B67"/>
    <w:rsid w:val="00857020"/>
    <w:rsid w:val="00866C45"/>
    <w:rsid w:val="00866F84"/>
    <w:rsid w:val="00880407"/>
    <w:rsid w:val="0088156C"/>
    <w:rsid w:val="00887685"/>
    <w:rsid w:val="008A02DD"/>
    <w:rsid w:val="008A4A1B"/>
    <w:rsid w:val="008E0C03"/>
    <w:rsid w:val="008E77D8"/>
    <w:rsid w:val="008F7297"/>
    <w:rsid w:val="0090678D"/>
    <w:rsid w:val="00907AB7"/>
    <w:rsid w:val="0091753E"/>
    <w:rsid w:val="00920E8E"/>
    <w:rsid w:val="009413F7"/>
    <w:rsid w:val="00960F24"/>
    <w:rsid w:val="00961EA3"/>
    <w:rsid w:val="00966D26"/>
    <w:rsid w:val="00980B02"/>
    <w:rsid w:val="00981F6E"/>
    <w:rsid w:val="00982E45"/>
    <w:rsid w:val="00987866"/>
    <w:rsid w:val="0099086C"/>
    <w:rsid w:val="0099587E"/>
    <w:rsid w:val="0099671D"/>
    <w:rsid w:val="009C3CEC"/>
    <w:rsid w:val="009C44B1"/>
    <w:rsid w:val="009F0F97"/>
    <w:rsid w:val="009F40FC"/>
    <w:rsid w:val="00A02FCF"/>
    <w:rsid w:val="00A06914"/>
    <w:rsid w:val="00A31450"/>
    <w:rsid w:val="00A56BA6"/>
    <w:rsid w:val="00A64AB5"/>
    <w:rsid w:val="00A81CF2"/>
    <w:rsid w:val="00A83F40"/>
    <w:rsid w:val="00A91D16"/>
    <w:rsid w:val="00AA4A3D"/>
    <w:rsid w:val="00AA62BD"/>
    <w:rsid w:val="00AB5EF4"/>
    <w:rsid w:val="00AC186D"/>
    <w:rsid w:val="00AC33BF"/>
    <w:rsid w:val="00AC7D76"/>
    <w:rsid w:val="00AD0143"/>
    <w:rsid w:val="00AE02CE"/>
    <w:rsid w:val="00B071D4"/>
    <w:rsid w:val="00B14BBA"/>
    <w:rsid w:val="00B15FEE"/>
    <w:rsid w:val="00B36095"/>
    <w:rsid w:val="00B42B9A"/>
    <w:rsid w:val="00B600BA"/>
    <w:rsid w:val="00B61ED9"/>
    <w:rsid w:val="00B72105"/>
    <w:rsid w:val="00B7611D"/>
    <w:rsid w:val="00B825B5"/>
    <w:rsid w:val="00B82B21"/>
    <w:rsid w:val="00B830A1"/>
    <w:rsid w:val="00B845CB"/>
    <w:rsid w:val="00B9344A"/>
    <w:rsid w:val="00BA765C"/>
    <w:rsid w:val="00BB1600"/>
    <w:rsid w:val="00BB6463"/>
    <w:rsid w:val="00BB7155"/>
    <w:rsid w:val="00BB764C"/>
    <w:rsid w:val="00BB784F"/>
    <w:rsid w:val="00BB78F3"/>
    <w:rsid w:val="00BC1E38"/>
    <w:rsid w:val="00BD3AF0"/>
    <w:rsid w:val="00BE1536"/>
    <w:rsid w:val="00BE7ABC"/>
    <w:rsid w:val="00BF5E8C"/>
    <w:rsid w:val="00C0256B"/>
    <w:rsid w:val="00C1022D"/>
    <w:rsid w:val="00C345F1"/>
    <w:rsid w:val="00C731CA"/>
    <w:rsid w:val="00C7568D"/>
    <w:rsid w:val="00C95098"/>
    <w:rsid w:val="00CA0804"/>
    <w:rsid w:val="00CA1070"/>
    <w:rsid w:val="00CB2432"/>
    <w:rsid w:val="00CB54F8"/>
    <w:rsid w:val="00CC4071"/>
    <w:rsid w:val="00CC5349"/>
    <w:rsid w:val="00CD3DF2"/>
    <w:rsid w:val="00CD4A65"/>
    <w:rsid w:val="00CD57FF"/>
    <w:rsid w:val="00CE431B"/>
    <w:rsid w:val="00CE6FF2"/>
    <w:rsid w:val="00CF28B4"/>
    <w:rsid w:val="00CF3B39"/>
    <w:rsid w:val="00D10D97"/>
    <w:rsid w:val="00D27F64"/>
    <w:rsid w:val="00D418F8"/>
    <w:rsid w:val="00D41977"/>
    <w:rsid w:val="00D6166B"/>
    <w:rsid w:val="00D617A0"/>
    <w:rsid w:val="00D6452B"/>
    <w:rsid w:val="00D963D6"/>
    <w:rsid w:val="00DA7FD8"/>
    <w:rsid w:val="00DB4034"/>
    <w:rsid w:val="00DB4947"/>
    <w:rsid w:val="00DC380E"/>
    <w:rsid w:val="00DE0B85"/>
    <w:rsid w:val="00DE42FE"/>
    <w:rsid w:val="00DF5872"/>
    <w:rsid w:val="00E056ED"/>
    <w:rsid w:val="00E20C8C"/>
    <w:rsid w:val="00E35584"/>
    <w:rsid w:val="00E36FE4"/>
    <w:rsid w:val="00E52582"/>
    <w:rsid w:val="00E72D57"/>
    <w:rsid w:val="00E76BBD"/>
    <w:rsid w:val="00E86D7E"/>
    <w:rsid w:val="00E87678"/>
    <w:rsid w:val="00E92715"/>
    <w:rsid w:val="00E9646F"/>
    <w:rsid w:val="00EC4666"/>
    <w:rsid w:val="00EC5074"/>
    <w:rsid w:val="00EE14AF"/>
    <w:rsid w:val="00EF696A"/>
    <w:rsid w:val="00F009DE"/>
    <w:rsid w:val="00F15328"/>
    <w:rsid w:val="00F17977"/>
    <w:rsid w:val="00F37E4B"/>
    <w:rsid w:val="00F42EAB"/>
    <w:rsid w:val="00F43CD1"/>
    <w:rsid w:val="00F47C02"/>
    <w:rsid w:val="00F63FBA"/>
    <w:rsid w:val="00F73D6C"/>
    <w:rsid w:val="00F83A76"/>
    <w:rsid w:val="00F86CC4"/>
    <w:rsid w:val="00F91E3F"/>
    <w:rsid w:val="00F93433"/>
    <w:rsid w:val="00FC7469"/>
    <w:rsid w:val="00FD279C"/>
    <w:rsid w:val="00FE4F91"/>
    <w:rsid w:val="00FF22A3"/>
    <w:rsid w:val="00FF4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AEE05B"/>
  <w15:docId w15:val="{A6EB15AE-F2D7-40B4-B4C1-F0A559657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22D"/>
  </w:style>
  <w:style w:type="paragraph" w:styleId="Ttulo1">
    <w:name w:val="heading 1"/>
    <w:basedOn w:val="Normal"/>
    <w:next w:val="Normal"/>
    <w:link w:val="Ttulo1Char"/>
    <w:qFormat/>
    <w:rsid w:val="00087AD9"/>
    <w:pPr>
      <w:keepNext/>
      <w:numPr>
        <w:numId w:val="2"/>
      </w:numPr>
      <w:spacing w:line="360" w:lineRule="auto"/>
      <w:jc w:val="left"/>
      <w:outlineLvl w:val="0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087AD9"/>
    <w:pPr>
      <w:keepNext/>
      <w:numPr>
        <w:ilvl w:val="1"/>
        <w:numId w:val="2"/>
      </w:numPr>
      <w:spacing w:line="360" w:lineRule="auto"/>
      <w:outlineLvl w:val="1"/>
    </w:pPr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087AD9"/>
    <w:pPr>
      <w:keepNext/>
      <w:numPr>
        <w:ilvl w:val="2"/>
        <w:numId w:val="2"/>
      </w:numPr>
      <w:spacing w:line="360" w:lineRule="auto"/>
      <w:outlineLvl w:val="2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87AD9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nhideWhenUsed/>
    <w:qFormat/>
    <w:rsid w:val="00087AD9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AD9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Calibri" w:eastAsia="Times New Roman" w:hAnsi="Calibri" w:cs="Times New Roman"/>
      <w:b/>
      <w:bCs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AD9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AD9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AD9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Calibri Light" w:eastAsia="Times New Roman" w:hAnsi="Calibri Light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F28B4"/>
  </w:style>
  <w:style w:type="paragraph" w:styleId="Rodap">
    <w:name w:val="footer"/>
    <w:basedOn w:val="Normal"/>
    <w:link w:val="RodapChar"/>
    <w:uiPriority w:val="99"/>
    <w:unhideWhenUsed/>
    <w:rsid w:val="00CF28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28B4"/>
  </w:style>
  <w:style w:type="paragraph" w:styleId="Textodebalo">
    <w:name w:val="Balloon Text"/>
    <w:basedOn w:val="Normal"/>
    <w:link w:val="TextodebaloChar"/>
    <w:uiPriority w:val="99"/>
    <w:semiHidden/>
    <w:unhideWhenUsed/>
    <w:rsid w:val="00CF28B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28B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28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aliases w:val="Segundo,Item2,DOCs_Paragrafo-1,Texto,lp1,List Paragraph1,Marcadores PDTI,Lista Colorida - Ênfase 11"/>
    <w:basedOn w:val="Normal"/>
    <w:link w:val="PargrafodaListaChar"/>
    <w:uiPriority w:val="1"/>
    <w:qFormat/>
    <w:rsid w:val="00CB54F8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087AD9"/>
    <w:rPr>
      <w:rFonts w:ascii="Arial" w:eastAsia="Times New Roman" w:hAnsi="Arial" w:cs="Arial"/>
      <w:b/>
      <w:bCs/>
      <w:sz w:val="16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087AD9"/>
    <w:rPr>
      <w:rFonts w:ascii="Arial" w:eastAsia="Times New Roman" w:hAnsi="Arial" w:cs="Times New Roman"/>
      <w:b/>
      <w:bCs/>
      <w:sz w:val="20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rsid w:val="00087AD9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087AD9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087AD9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087AD9"/>
    <w:rPr>
      <w:rFonts w:ascii="Calibri" w:eastAsia="Times New Roman" w:hAnsi="Calibri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087AD9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087AD9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semiHidden/>
    <w:rsid w:val="00087AD9"/>
    <w:rPr>
      <w:rFonts w:ascii="Calibri Light" w:eastAsia="Times New Roman" w:hAnsi="Calibri Light" w:cs="Times New Roman"/>
      <w:lang w:eastAsia="pt-BR"/>
    </w:rPr>
  </w:style>
  <w:style w:type="paragraph" w:customStyle="1" w:styleId="dou-paragraph">
    <w:name w:val="dou-paragraph"/>
    <w:basedOn w:val="Normal"/>
    <w:rsid w:val="0007453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4B6FA9"/>
    <w:pPr>
      <w:suppressAutoHyphens/>
      <w:autoSpaceDN w:val="0"/>
      <w:spacing w:after="140" w:line="276" w:lineRule="auto"/>
      <w:ind w:left="10" w:right="16" w:hanging="10"/>
      <w:jc w:val="both"/>
      <w:textAlignment w:val="baseline"/>
    </w:pPr>
    <w:rPr>
      <w:rFonts w:ascii="Liberation Serif" w:eastAsia="Liberation Serif" w:hAnsi="Liberation Serif" w:cs="Liberation Serif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F067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0670"/>
    <w:rPr>
      <w:b/>
      <w:bCs/>
    </w:rPr>
  </w:style>
  <w:style w:type="character" w:customStyle="1" w:styleId="PargrafodaListaChar">
    <w:name w:val="Parágrafo da Lista Char"/>
    <w:aliases w:val="Segundo Char,Item2 Char,DOCs_Paragrafo-1 Char,Texto Char,lp1 Char,List Paragraph1 Char,Marcadores PDTI Char,Lista Colorida - Ênfase 11 Char"/>
    <w:link w:val="PargrafodaLista"/>
    <w:uiPriority w:val="1"/>
    <w:qFormat/>
    <w:locked/>
    <w:rsid w:val="00063E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33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7318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396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3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5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9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174070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18cc7a-0dce-4c40-b009-cf5a356b470e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0EC45A7A59D945855608CF724278AD" ma:contentTypeVersion="16" ma:contentTypeDescription="Crie um novo documento." ma:contentTypeScope="" ma:versionID="91ee82f360e4b4d11e0cc0028c0c636b">
  <xsd:schema xmlns:xsd="http://www.w3.org/2001/XMLSchema" xmlns:xs="http://www.w3.org/2001/XMLSchema" xmlns:p="http://schemas.microsoft.com/office/2006/metadata/properties" xmlns:ns3="8caa0919-09c2-41d8-ad11-9bc63b88ea02" xmlns:ns4="5418cc7a-0dce-4c40-b009-cf5a356b470e" targetNamespace="http://schemas.microsoft.com/office/2006/metadata/properties" ma:root="true" ma:fieldsID="6cd743ec5044713286b3655ca74af00d" ns3:_="" ns4:_="">
    <xsd:import namespace="8caa0919-09c2-41d8-ad11-9bc63b88ea02"/>
    <xsd:import namespace="5418cc7a-0dce-4c40-b009-cf5a356b47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aa0919-09c2-41d8-ad11-9bc63b88ea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8cc7a-0dce-4c40-b009-cf5a356b47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0310F2-BA20-4B8D-ABB7-693FAE6969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B1F576-CDD3-4EB3-A52E-4EA2D8198F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B16C78-BF56-4E66-90F6-8D5C26DA516E}">
  <ds:schemaRefs>
    <ds:schemaRef ds:uri="http://schemas.microsoft.com/office/2006/metadata/properties"/>
    <ds:schemaRef ds:uri="http://schemas.microsoft.com/office/infopath/2007/PartnerControls"/>
    <ds:schemaRef ds:uri="5418cc7a-0dce-4c40-b009-cf5a356b470e"/>
  </ds:schemaRefs>
</ds:datastoreItem>
</file>

<file path=customXml/itemProps4.xml><?xml version="1.0" encoding="utf-8"?>
<ds:datastoreItem xmlns:ds="http://schemas.openxmlformats.org/officeDocument/2006/customXml" ds:itemID="{B0733B6E-ECC3-42CD-AE1C-22BD51C72B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aa0919-09c2-41d8-ad11-9bc63b88ea02"/>
    <ds:schemaRef ds:uri="5418cc7a-0dce-4c40-b009-cf5a356b47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1983</Words>
  <Characters>10712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Ufjf</dc:creator>
  <cp:lastModifiedBy>Wallace Nascimento</cp:lastModifiedBy>
  <cp:revision>3</cp:revision>
  <cp:lastPrinted>2023-10-09T19:37:00Z</cp:lastPrinted>
  <dcterms:created xsi:type="dcterms:W3CDTF">2026-04-10T21:28:00Z</dcterms:created>
  <dcterms:modified xsi:type="dcterms:W3CDTF">2026-05-19T16:27:00Z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0x010100500EC45A7A59D945855608CF724278AD</vt:lpwstr>
  </property>
</Properties>
</file>