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5262D283" w:rsidR="00E341A6" w:rsidRPr="00F60636" w:rsidRDefault="006846C5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6846C5">
              <w:rPr>
                <w:b/>
                <w:bCs/>
                <w:color w:val="FFFFFF" w:themeColor="background1"/>
                <w:sz w:val="56"/>
                <w:szCs w:val="56"/>
              </w:rPr>
              <w:t>Secretaria Geral de Tecnologia da Informação (SGTEC)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120D5A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120D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120D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01BDEA63" w:rsidR="0051028D" w:rsidRPr="00BF0025" w:rsidRDefault="007818F1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Secretaria-Geral</w:t>
            </w:r>
            <w:proofErr w:type="spellEnd"/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de </w:t>
            </w:r>
            <w:r w:rsidR="0073744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Tecnologia da Informação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SG</w:t>
            </w:r>
            <w:r w:rsidR="0073744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TEC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099767F9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73744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9010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106E644F" w:rsidR="0051028D" w:rsidRPr="00737445" w:rsidRDefault="00BB7292" w:rsidP="00120D5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737445" w:rsidRPr="00737445">
                <w:rPr>
                  <w:rStyle w:val="Hyperlink"/>
                  <w:u w:val="none"/>
                </w:rPr>
                <w:t>https://www.tjrj.jus.br/web/guest/institucional/secretarias-gerais/sgtec</w:t>
              </w:r>
            </w:hyperlink>
            <w:r w:rsidR="00737445" w:rsidRPr="00737445">
              <w:t xml:space="preserve"> </w:t>
            </w:r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BF0025" w:rsidRDefault="00A741D5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120D5A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1EA5EFE1" w:rsidR="0051028D" w:rsidRPr="007818F1" w:rsidRDefault="00BB7292" w:rsidP="00120D5A">
            <w:pPr>
              <w:spacing w:after="0" w:line="240" w:lineRule="auto"/>
              <w:rPr>
                <w:rFonts w:ascii="Calibri" w:hAnsi="Calibri" w:cs="Calibri"/>
                <w:smallCaps/>
                <w:sz w:val="28"/>
                <w:szCs w:val="28"/>
              </w:rPr>
            </w:pPr>
            <w:hyperlink r:id="rId10" w:history="1">
              <w:r w:rsidR="00737445" w:rsidRPr="00084947">
                <w:rPr>
                  <w:rStyle w:val="Hyperlink"/>
                  <w:rFonts w:ascii="Arial" w:hAnsi="Arial" w:cs="Arial"/>
                </w:rPr>
                <w:t>sgtec@tjrj.jus.br</w:t>
              </w:r>
            </w:hyperlink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eastAsiaTheme="minorEastAsia" w:cstheme="minorBidi"/>
          <w:b w:val="0"/>
          <w:bCs w:val="0"/>
          <w:color w:val="auto"/>
          <w:sz w:val="21"/>
          <w:szCs w:val="21"/>
        </w:rPr>
        <w:id w:val="-775560331"/>
        <w:docPartObj>
          <w:docPartGallery w:val="Table of Contents"/>
          <w:docPartUnique/>
        </w:docPartObj>
      </w:sdtPr>
      <w:sdtContent>
        <w:p w14:paraId="33834867" w14:textId="6C2880D4" w:rsidR="0025713C" w:rsidRPr="00DC5FC0" w:rsidRDefault="0025713C" w:rsidP="00DC5FC0">
          <w:pPr>
            <w:pStyle w:val="CabealhodoSumrio"/>
            <w:jc w:val="center"/>
          </w:pPr>
          <w:r w:rsidRPr="00DC5FC0">
            <w:t>Sumário</w:t>
          </w:r>
        </w:p>
        <w:p w14:paraId="55BD0AB5" w14:textId="12AEEEA0" w:rsidR="00231936" w:rsidRDefault="0025713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579476" w:history="1">
            <w:r w:rsidR="00231936" w:rsidRPr="00EC626C">
              <w:rPr>
                <w:rStyle w:val="Hyperlink"/>
              </w:rPr>
              <w:t>1. ESTRUTURA ORGANIZACIONAL</w:t>
            </w:r>
            <w:r w:rsidR="00231936">
              <w:rPr>
                <w:webHidden/>
              </w:rPr>
              <w:tab/>
            </w:r>
            <w:r w:rsidR="00231936">
              <w:rPr>
                <w:webHidden/>
              </w:rPr>
              <w:fldChar w:fldCharType="begin"/>
            </w:r>
            <w:r w:rsidR="00231936">
              <w:rPr>
                <w:webHidden/>
              </w:rPr>
              <w:instrText xml:space="preserve"> PAGEREF _Toc166579476 \h </w:instrText>
            </w:r>
            <w:r w:rsidR="00231936">
              <w:rPr>
                <w:webHidden/>
              </w:rPr>
            </w:r>
            <w:r w:rsidR="00231936">
              <w:rPr>
                <w:webHidden/>
              </w:rPr>
              <w:fldChar w:fldCharType="separate"/>
            </w:r>
            <w:r w:rsidR="00231936">
              <w:rPr>
                <w:webHidden/>
              </w:rPr>
              <w:t>5</w:t>
            </w:r>
            <w:r w:rsidR="00231936">
              <w:rPr>
                <w:webHidden/>
              </w:rPr>
              <w:fldChar w:fldCharType="end"/>
            </w:r>
          </w:hyperlink>
        </w:p>
        <w:p w14:paraId="50509479" w14:textId="24DCC2DC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477" w:history="1">
            <w:r w:rsidRPr="00EC626C">
              <w:rPr>
                <w:rStyle w:val="Hyperlink"/>
              </w:rPr>
              <w:t>.2. ESTRUTURA DA SECRETARIA-GERAL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5CD42D" w14:textId="1910A4A5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78" w:history="1">
            <w:r w:rsidRPr="00EC626C">
              <w:rPr>
                <w:rStyle w:val="Hyperlink"/>
                <w:noProof/>
              </w:rPr>
              <w:t>2.1.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4A39C" w14:textId="51472712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79" w:history="1">
            <w:r w:rsidRPr="00EC626C">
              <w:rPr>
                <w:rStyle w:val="Hyperlink"/>
                <w:noProof/>
              </w:rPr>
              <w:t>2.2. Administração Superior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5424F" w14:textId="4973FFEC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480" w:history="1">
            <w:r w:rsidRPr="00EC626C">
              <w:rPr>
                <w:rStyle w:val="Hyperlink"/>
              </w:rPr>
              <w:t>3. DEPARTAMENTOS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A0D91BD" w14:textId="11917670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1" w:history="1">
            <w:r w:rsidRPr="00EC626C">
              <w:rPr>
                <w:rStyle w:val="Hyperlink"/>
                <w:noProof/>
              </w:rPr>
              <w:t>3.1 - Departamento de Sustentação de Tecnologia da Informação e Comunicação de Dados (DETIC)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CCC9C" w14:textId="4E0A5BBA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2" w:history="1">
            <w:r w:rsidRPr="00EC626C">
              <w:rPr>
                <w:rStyle w:val="Hyperlink"/>
                <w:noProof/>
              </w:rPr>
              <w:t>3.2 - Departamento de Atendimento e Suporte ao Usuário (DEATE)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26B6A" w14:textId="7BBB172E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3" w:history="1">
            <w:r w:rsidRPr="00EC626C">
              <w:rPr>
                <w:rStyle w:val="Hyperlink"/>
                <w:noProof/>
              </w:rPr>
              <w:t>3.3 - Departamento de Soluções (DESOL)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FAD2F" w14:textId="786F15C7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4" w:history="1">
            <w:r w:rsidRPr="00EC626C">
              <w:rPr>
                <w:rStyle w:val="Hyperlink"/>
                <w:noProof/>
              </w:rPr>
              <w:t>3.4 - Departamento de Gestão de TIC (DEGET)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39839" w14:textId="5CCB9963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5" w:history="1">
            <w:r w:rsidRPr="00EC626C">
              <w:rPr>
                <w:rStyle w:val="Hyperlink"/>
                <w:noProof/>
              </w:rPr>
              <w:t>3.5 - Departamento de Processo Judicial Eletrônico - PJE (DEPJE)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3ACBB" w14:textId="372BAEA2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486" w:history="1">
            <w:r w:rsidRPr="00EC626C">
              <w:rPr>
                <w:rStyle w:val="Hyperlink"/>
              </w:rPr>
              <w:t>4. SISTEMA DE GESTÃO DA QUALIDADE DA SGTEC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F965C99" w14:textId="30341F95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7" w:history="1">
            <w:r w:rsidRPr="00EC626C">
              <w:rPr>
                <w:rStyle w:val="Hyperlink"/>
                <w:noProof/>
              </w:rPr>
              <w:t>4.1 – Rotinas Administrativas (RADs) Gerais: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B2B2E" w14:textId="0443BA9D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88" w:history="1">
            <w:r w:rsidRPr="00EC626C">
              <w:rPr>
                <w:rStyle w:val="Hyperlink"/>
                <w:noProof/>
              </w:rPr>
              <w:t>4.2 – Rotinas Administrativas (RADs) Operacionais: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45621" w14:textId="378E4872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489" w:history="1">
            <w:r w:rsidRPr="00EC626C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C4928B2" w14:textId="0734DA79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0" w:history="1">
            <w:r w:rsidRPr="00EC626C">
              <w:rPr>
                <w:rStyle w:val="Hyperlink"/>
                <w:noProof/>
              </w:rPr>
              <w:t>5.1 – IGovTIC-JUD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B2668" w14:textId="1BE2D3BC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1" w:history="1">
            <w:r w:rsidRPr="00EC626C">
              <w:rPr>
                <w:rStyle w:val="Hyperlink"/>
                <w:noProof/>
              </w:rPr>
              <w:t>5.2 – Índice de Processos Eletrônicos Novos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D336E" w14:textId="1A96C104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2" w:history="1">
            <w:r w:rsidRPr="00EC626C">
              <w:rPr>
                <w:rStyle w:val="Hyperlink"/>
                <w:noProof/>
              </w:rPr>
              <w:t>5.3 – Nível de Atendimento de Serviços Não Codificados do SEGRA.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AE005" w14:textId="0616FF28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3" w:history="1">
            <w:r w:rsidRPr="00EC626C">
              <w:rPr>
                <w:rStyle w:val="Hyperlink"/>
                <w:noProof/>
              </w:rPr>
              <w:t>5.4 – Relatório Demonstrativo da Eficácia do Call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11095" w14:textId="678DEC47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4" w:history="1">
            <w:r w:rsidRPr="00EC626C">
              <w:rPr>
                <w:rStyle w:val="Hyperlink"/>
                <w:noProof/>
              </w:rPr>
              <w:t>5.5 – Índice de capacidade de atendimento do volume de solicitações da SGTEC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60C21" w14:textId="42520D8E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495" w:history="1">
            <w:r w:rsidRPr="00EC626C">
              <w:rPr>
                <w:rStyle w:val="Hyperlink"/>
              </w:rPr>
              <w:t>6. Governança de T</w:t>
            </w:r>
            <w:r w:rsidRPr="00EC626C">
              <w:rPr>
                <w:rStyle w:val="Hyperlink"/>
              </w:rPr>
              <w:t>I</w:t>
            </w:r>
            <w:r w:rsidRPr="00EC626C">
              <w:rPr>
                <w:rStyle w:val="Hyperlink"/>
              </w:rPr>
              <w:t>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44BC2C53" w14:textId="644E26F1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6" w:history="1">
            <w:r w:rsidRPr="00EC626C">
              <w:rPr>
                <w:rStyle w:val="Hyperlink"/>
                <w:noProof/>
              </w:rPr>
              <w:t xml:space="preserve">6.1 </w:t>
            </w:r>
            <w:r w:rsidRPr="00EC626C">
              <w:rPr>
                <w:rStyle w:val="Hyperlink"/>
                <w:rFonts w:eastAsia="Aptos"/>
                <w:noProof/>
                <w:lang w:val="en-US"/>
              </w:rPr>
              <w:t>Observabilidade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D39EF" w14:textId="10E7D622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7" w:history="1">
            <w:r w:rsidRPr="00EC626C">
              <w:rPr>
                <w:rStyle w:val="Hyperlink"/>
                <w:noProof/>
              </w:rPr>
              <w:t xml:space="preserve">6.2 </w:t>
            </w:r>
            <w:r w:rsidRPr="00EC626C">
              <w:rPr>
                <w:rStyle w:val="Hyperlink"/>
                <w:rFonts w:eastAsia="Aptos"/>
                <w:noProof/>
              </w:rPr>
              <w:t>Playbook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427C4" w14:textId="7096FCF2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8" w:history="1">
            <w:r w:rsidRPr="00EC626C">
              <w:rPr>
                <w:rStyle w:val="Hyperlink"/>
                <w:noProof/>
              </w:rPr>
              <w:t xml:space="preserve">6.3 </w:t>
            </w:r>
            <w:r w:rsidRPr="00EC626C">
              <w:rPr>
                <w:rStyle w:val="Hyperlink"/>
                <w:rFonts w:eastAsia="Aptos"/>
                <w:noProof/>
              </w:rPr>
              <w:t>Melhorias Governança das contratações de 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66EE9" w14:textId="0C4063B1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499" w:history="1">
            <w:r w:rsidRPr="00EC626C">
              <w:rPr>
                <w:rStyle w:val="Hyperlink"/>
                <w:noProof/>
              </w:rPr>
              <w:t xml:space="preserve">6.4 </w:t>
            </w:r>
            <w:r w:rsidRPr="00EC626C">
              <w:rPr>
                <w:rStyle w:val="Hyperlink"/>
                <w:rFonts w:eastAsia="Aptos"/>
                <w:noProof/>
              </w:rPr>
              <w:t>Gestão de Riscos de 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9AFEB" w14:textId="3029D9AA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0" w:history="1">
            <w:r w:rsidRPr="00EC626C">
              <w:rPr>
                <w:rStyle w:val="Hyperlink"/>
                <w:noProof/>
              </w:rPr>
              <w:t xml:space="preserve">6.5 </w:t>
            </w:r>
            <w:r w:rsidRPr="00EC626C">
              <w:rPr>
                <w:rStyle w:val="Hyperlink"/>
                <w:rFonts w:eastAsia="Aptos"/>
                <w:noProof/>
              </w:rPr>
              <w:t xml:space="preserve">Contratação /Implantação </w:t>
            </w:r>
            <w:r w:rsidRPr="00EC626C">
              <w:rPr>
                <w:rStyle w:val="Hyperlink"/>
                <w:rFonts w:eastAsia="Aptos"/>
                <w:noProof/>
              </w:rPr>
              <w:t>n</w:t>
            </w:r>
            <w:r w:rsidRPr="00EC626C">
              <w:rPr>
                <w:rStyle w:val="Hyperlink"/>
                <w:rFonts w:eastAsia="Aptos"/>
                <w:noProof/>
              </w:rPr>
              <w:t>ova solução ITSM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EAAF5" w14:textId="5A6036B6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1" w:history="1">
            <w:r w:rsidRPr="00EC626C">
              <w:rPr>
                <w:rStyle w:val="Hyperlink"/>
                <w:noProof/>
              </w:rPr>
              <w:t xml:space="preserve">6.6 </w:t>
            </w:r>
            <w:r w:rsidRPr="00EC626C">
              <w:rPr>
                <w:rStyle w:val="Hyperlink"/>
                <w:rFonts w:eastAsia="Aptos"/>
                <w:noProof/>
              </w:rPr>
              <w:t>Mapeamento de Processos SGTEC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131A5" w14:textId="18F507E9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02" w:history="1">
            <w:r w:rsidRPr="00EC626C">
              <w:rPr>
                <w:rStyle w:val="Hyperlink"/>
              </w:rPr>
              <w:t>7. Infraestrutura e Segurança da Informação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77DA936E" w14:textId="16E272EE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3" w:history="1">
            <w:r w:rsidRPr="00EC626C">
              <w:rPr>
                <w:rStyle w:val="Hyperlink"/>
                <w:noProof/>
              </w:rPr>
              <w:t xml:space="preserve">7.1 </w:t>
            </w:r>
            <w:r w:rsidRPr="00EC626C">
              <w:rPr>
                <w:rStyle w:val="Hyperlink"/>
                <w:rFonts w:eastAsia="Aptos"/>
                <w:noProof/>
              </w:rPr>
              <w:t>Aquisição de Nuvem em contrato Multinuvem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6D2FB" w14:textId="5917E1C9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4" w:history="1">
            <w:r w:rsidRPr="00EC626C">
              <w:rPr>
                <w:rStyle w:val="Hyperlink"/>
                <w:noProof/>
              </w:rPr>
              <w:t xml:space="preserve">7.2 </w:t>
            </w:r>
            <w:r w:rsidRPr="00EC626C">
              <w:rPr>
                <w:rStyle w:val="Hyperlink"/>
                <w:rFonts w:eastAsia="Aptos"/>
                <w:noProof/>
                <w:lang w:val="en-US"/>
              </w:rPr>
              <w:t>Segurança da Informação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8AFF0" w14:textId="614BEB65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05" w:history="1">
            <w:r w:rsidRPr="00EC626C">
              <w:rPr>
                <w:rStyle w:val="Hyperlink"/>
              </w:rPr>
              <w:t>8. Sistemas e Aplicações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11B27257" w14:textId="6A81EAD7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6" w:history="1">
            <w:r w:rsidRPr="00EC626C">
              <w:rPr>
                <w:rStyle w:val="Hyperlink"/>
                <w:noProof/>
              </w:rPr>
              <w:t xml:space="preserve">8.1 </w:t>
            </w:r>
            <w:r w:rsidRPr="00EC626C">
              <w:rPr>
                <w:rStyle w:val="Hyperlink"/>
                <w:rFonts w:eastAsia="Aptos"/>
                <w:noProof/>
              </w:rPr>
              <w:t>- E-proc: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939AB" w14:textId="5F75E54F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7" w:history="1">
            <w:r w:rsidRPr="00EC626C">
              <w:rPr>
                <w:rStyle w:val="Hyperlink"/>
                <w:noProof/>
              </w:rPr>
              <w:t>8.2 Evolução contínua de PJe e EJUD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6023A" w14:textId="6855760B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8" w:history="1">
            <w:r w:rsidRPr="00EC626C">
              <w:rPr>
                <w:rStyle w:val="Hyperlink"/>
                <w:noProof/>
              </w:rPr>
              <w:t>8.3 GPES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05240" w14:textId="4A4C5329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09" w:history="1">
            <w:r w:rsidRPr="00EC626C">
              <w:rPr>
                <w:rStyle w:val="Hyperlink"/>
                <w:noProof/>
              </w:rPr>
              <w:t>8.4 Contratação Analista de requisitos: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0195E" w14:textId="3CCE387A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10" w:history="1">
            <w:r w:rsidRPr="00EC626C">
              <w:rPr>
                <w:rStyle w:val="Hyperlink"/>
              </w:rPr>
              <w:t>9. Atendimento, Suporte ao Usuário e Virtualização do Trabalho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164A2D3A" w14:textId="0FDCD139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1" w:history="1">
            <w:r w:rsidRPr="00EC626C">
              <w:rPr>
                <w:rStyle w:val="Hyperlink"/>
                <w:noProof/>
              </w:rPr>
              <w:t xml:space="preserve">9.1 </w:t>
            </w:r>
            <w:r w:rsidRPr="00EC626C">
              <w:rPr>
                <w:rStyle w:val="Hyperlink"/>
                <w:rFonts w:eastAsia="Aptos"/>
                <w:noProof/>
                <w:lang w:val="en-US"/>
              </w:rPr>
              <w:t>Renovação do quadro de suporte N1, N2 e N3 com nova contratação (Suporte Multinível).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5CA23" w14:textId="7B4E7A0D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2" w:history="1">
            <w:r w:rsidRPr="00EC626C">
              <w:rPr>
                <w:rStyle w:val="Hyperlink"/>
                <w:noProof/>
              </w:rPr>
              <w:t xml:space="preserve">9.2 </w:t>
            </w:r>
            <w:r w:rsidRPr="00EC626C">
              <w:rPr>
                <w:rStyle w:val="Hyperlink"/>
                <w:rFonts w:eastAsia="Aptos"/>
                <w:noProof/>
                <w:lang w:val="en-US"/>
              </w:rPr>
              <w:t>Renovação do hardware de trabalho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85FCD" w14:textId="519EFA93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3" w:history="1">
            <w:r w:rsidRPr="00EC626C">
              <w:rPr>
                <w:rStyle w:val="Hyperlink"/>
                <w:noProof/>
              </w:rPr>
              <w:t xml:space="preserve">9.3 </w:t>
            </w:r>
            <w:r w:rsidRPr="00EC626C">
              <w:rPr>
                <w:rStyle w:val="Hyperlink"/>
                <w:rFonts w:eastAsia="Aptos"/>
                <w:noProof/>
              </w:rPr>
              <w:t>Automação de rotinas de atendimento com o avanço da Observabilidade: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0396C" w14:textId="6AAE6A30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14" w:history="1">
            <w:r w:rsidRPr="00EC626C">
              <w:rPr>
                <w:rStyle w:val="Hyperlink"/>
              </w:rPr>
              <w:t>10. Inteligência Artificial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5847F179" w14:textId="52EA475C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5" w:history="1">
            <w:r w:rsidRPr="00EC626C">
              <w:rPr>
                <w:rStyle w:val="Hyperlink"/>
                <w:noProof/>
              </w:rPr>
              <w:t>10.1 Assistente IA (GPTJ) 1ª Instância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797EE" w14:textId="23D14606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6" w:history="1">
            <w:r w:rsidRPr="00EC626C">
              <w:rPr>
                <w:rStyle w:val="Hyperlink"/>
                <w:noProof/>
              </w:rPr>
              <w:t>10.2 Assistente IA 2ª Instância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C71A8" w14:textId="3753A57A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17" w:history="1">
            <w:r w:rsidRPr="00EC626C">
              <w:rPr>
                <w:rStyle w:val="Hyperlink"/>
              </w:rPr>
              <w:t>11. Outras realizações na área de Tecnologia da Informação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E811EF5" w14:textId="01E0351B" w:rsidR="00231936" w:rsidRDefault="00231936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6579518" w:history="1">
            <w:r w:rsidRPr="00EC626C">
              <w:rPr>
                <w:rStyle w:val="Hyperlink"/>
                <w:noProof/>
              </w:rPr>
              <w:t>11.1 Outros achievements que acharmos relevantes, em especial o que se relaciona com indicadores.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_Toc166579518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D908B" w14:textId="39BCEDBD" w:rsidR="00231936" w:rsidRDefault="00231936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6579519" w:history="1">
            <w:r w:rsidRPr="00EC626C">
              <w:rPr>
                <w:rStyle w:val="Hyperlink"/>
              </w:rPr>
              <w:t>12. PLANILHAS DE INDICADORES – ESTRATÉGICOS, GERENCIAIS E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_Toc166579519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4E7D784D" w14:textId="1E379788" w:rsidR="0025713C" w:rsidRDefault="0025713C">
          <w:r>
            <w:rPr>
              <w:b/>
              <w:bCs/>
            </w:rPr>
            <w:fldChar w:fldCharType="end"/>
          </w:r>
        </w:p>
      </w:sdtContent>
    </w:sdt>
    <w:p w14:paraId="68B72B0E" w14:textId="50C5AFAC" w:rsidR="00384322" w:rsidRDefault="00384322"/>
    <w:p w14:paraId="6C95FADC" w14:textId="77777777" w:rsidR="00AD0B8A" w:rsidRDefault="00AD0B8A">
      <w:pPr>
        <w:sectPr w:rsidR="00AD0B8A" w:rsidSect="005201A5">
          <w:headerReference w:type="default" r:id="rId11"/>
          <w:footerReference w:type="default" r:id="rId12"/>
          <w:pgSz w:w="11906" w:h="16838"/>
          <w:pgMar w:top="0" w:right="424" w:bottom="992" w:left="1134" w:header="709" w:footer="142" w:gutter="0"/>
          <w:cols w:space="708"/>
          <w:titlePg/>
          <w:docGrid w:linePitch="360"/>
        </w:sectPr>
      </w:pPr>
    </w:p>
    <w:p w14:paraId="448E12D7" w14:textId="358F53CE" w:rsidR="00F0457E" w:rsidRPr="00F0457E" w:rsidRDefault="001D38B7" w:rsidP="00DC5FC0">
      <w:pPr>
        <w:pStyle w:val="Ttulo1"/>
      </w:pPr>
      <w:bookmarkStart w:id="48" w:name="_Toc166579476"/>
      <w:r w:rsidRPr="00DC5FC0">
        <w:lastRenderedPageBreak/>
        <w:t>1. ESTRUTURA ORGANIZACIONAL</w:t>
      </w:r>
      <w:bookmarkEnd w:id="48"/>
    </w:p>
    <w:p w14:paraId="58A56A6E" w14:textId="4752FF68" w:rsidR="00AD0B8A" w:rsidRDefault="00AD0B8A" w:rsidP="00A741D5">
      <w:pPr>
        <w:ind w:left="-709"/>
        <w:jc w:val="center"/>
        <w:rPr>
          <w:noProof/>
        </w:rPr>
        <w:sectPr w:rsidR="00AD0B8A" w:rsidSect="00641ADB">
          <w:headerReference w:type="default" r:id="rId13"/>
          <w:footerReference w:type="default" r:id="rId14"/>
          <w:headerReference w:type="first" r:id="rId15"/>
          <w:pgSz w:w="16838" w:h="11906" w:orient="landscape"/>
          <w:pgMar w:top="1134" w:right="0" w:bottom="424" w:left="992" w:header="709" w:footer="142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59F62654" wp14:editId="3135D8FF">
            <wp:extent cx="9349740" cy="4661317"/>
            <wp:effectExtent l="0" t="0" r="381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90309" cy="468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D5EC" w14:textId="02AE5697" w:rsidR="00550F0E" w:rsidRPr="004779B9" w:rsidRDefault="00550F0E" w:rsidP="00DC5FC0">
      <w:pPr>
        <w:pStyle w:val="Ttulo1"/>
      </w:pPr>
      <w:bookmarkStart w:id="49" w:name="_Toc166579477"/>
      <w:r w:rsidRPr="004779B9">
        <w:lastRenderedPageBreak/>
        <w:t>.</w:t>
      </w:r>
      <w:r>
        <w:t>2.</w:t>
      </w:r>
      <w:r w:rsidRPr="004779B9">
        <w:t xml:space="preserve"> </w:t>
      </w:r>
      <w:r w:rsidR="00E34E01">
        <w:t>ESTRUTURA DA SECRETARIA-GERAL</w:t>
      </w:r>
      <w:bookmarkEnd w:id="49"/>
    </w:p>
    <w:p w14:paraId="312543EA" w14:textId="77777777" w:rsidR="00E34E01" w:rsidRPr="00E00904" w:rsidRDefault="00550F0E" w:rsidP="00E00904">
      <w:pPr>
        <w:pStyle w:val="Ttulo2"/>
      </w:pPr>
      <w:bookmarkStart w:id="50" w:name="_Toc166579478"/>
      <w:r w:rsidRPr="00E00904">
        <w:t xml:space="preserve">2.1. </w:t>
      </w:r>
      <w:r w:rsidR="00E34E01" w:rsidRPr="00E00904">
        <w:t>Objetivo</w:t>
      </w:r>
      <w:bookmarkEnd w:id="50"/>
    </w:p>
    <w:p w14:paraId="37A00622" w14:textId="77777777" w:rsidR="000D2898" w:rsidRPr="00BD78A2" w:rsidRDefault="000D2898" w:rsidP="00901232">
      <w:r w:rsidRPr="00BD78A2">
        <w:t xml:space="preserve">A </w:t>
      </w:r>
      <w:proofErr w:type="spellStart"/>
      <w:r w:rsidRPr="00BD78A2">
        <w:t>Secretaria-Geral</w:t>
      </w:r>
      <w:proofErr w:type="spellEnd"/>
      <w:r w:rsidRPr="00BD78A2">
        <w:t xml:space="preserve"> de Tecnologia da Informação tem por missão propiciar às unidades organizacionais do Poder Judiciário os recursos tecnológicos, os sistemas de informação e os serviços necessários à informatização de seus processos de gestão e operação, incumbindo-lhe, especialmente:</w:t>
      </w:r>
    </w:p>
    <w:p w14:paraId="111818A0" w14:textId="77777777" w:rsidR="000D2898" w:rsidRPr="00BD78A2" w:rsidRDefault="000D2898" w:rsidP="00901232">
      <w:r w:rsidRPr="00BD78A2">
        <w:t>a) propor ao órgão colegiado de Governança de Tecnologia da Informação as diretrizes e prioridades estratégicas relacionadas à informatização das unidades organizacionais e dos processos de gestão e operação;</w:t>
      </w:r>
    </w:p>
    <w:p w14:paraId="64757688" w14:textId="77777777" w:rsidR="000D2898" w:rsidRPr="00BD78A2" w:rsidRDefault="000D2898" w:rsidP="00901232">
      <w:r w:rsidRPr="00BD78A2">
        <w:t>b) elaborar o plano diretor de tecnologia da informação para o Poder Judiciário, a partir de diretrizes e prioridades estratégicas homologadas pelo órgão colegiado de Governança de Tecnologia da Informação;</w:t>
      </w:r>
    </w:p>
    <w:p w14:paraId="09513965" w14:textId="77777777" w:rsidR="000D2898" w:rsidRPr="00BD78A2" w:rsidRDefault="000D2898" w:rsidP="00901232">
      <w:r w:rsidRPr="00BD78A2">
        <w:t>c) promover a realização de estudos voltados à prospecção de novas tecnologias, métodos e ferramentas para apoio ao processo de informatização do Poder Judiciário;</w:t>
      </w:r>
    </w:p>
    <w:p w14:paraId="0C138015" w14:textId="77777777" w:rsidR="000D2898" w:rsidRPr="00BD78A2" w:rsidRDefault="000D2898" w:rsidP="00901232">
      <w:r w:rsidRPr="00BD78A2">
        <w:t>d) buscar soluções inovadoras de Tecnologia da Informação que contribuam para a melhoria da qualidade e agilidade da prestação jurisdicional;</w:t>
      </w:r>
    </w:p>
    <w:p w14:paraId="6325556E" w14:textId="77777777" w:rsidR="000D2898" w:rsidRPr="00BD78A2" w:rsidRDefault="000D2898" w:rsidP="00901232">
      <w:r w:rsidRPr="00BD78A2">
        <w:t>e) estimular e coordenar o relacionamento com unidades de informatização de outros Tribunais, do Poder Executivo Estadual, do Ministério Público e de outras entidades externas, no sentido da integração entre bases de dados e sistemas de informação.</w:t>
      </w:r>
    </w:p>
    <w:p w14:paraId="2A4B58D2" w14:textId="77777777" w:rsidR="000D2898" w:rsidRPr="00BD78A2" w:rsidRDefault="000D2898" w:rsidP="00BD78A2">
      <w:pPr>
        <w:rPr>
          <w:b/>
        </w:rPr>
      </w:pPr>
      <w:r w:rsidRPr="00BD78A2">
        <w:rPr>
          <w:b/>
        </w:rPr>
        <w:t xml:space="preserve">São unidades da </w:t>
      </w:r>
      <w:proofErr w:type="spellStart"/>
      <w:r w:rsidRPr="00BD78A2">
        <w:rPr>
          <w:b/>
        </w:rPr>
        <w:t>Secretaria-Geral</w:t>
      </w:r>
      <w:proofErr w:type="spellEnd"/>
      <w:r w:rsidRPr="00BD78A2">
        <w:rPr>
          <w:b/>
        </w:rPr>
        <w:t xml:space="preserve"> de Tecnologia da Informação:</w:t>
      </w:r>
    </w:p>
    <w:p w14:paraId="279B2D6F" w14:textId="77777777" w:rsidR="000D2898" w:rsidRPr="00B558BF" w:rsidRDefault="000D2898" w:rsidP="00DC5FC0">
      <w:r w:rsidRPr="00B558BF">
        <w:t>I - Gabinete;</w:t>
      </w:r>
    </w:p>
    <w:p w14:paraId="072AB732" w14:textId="77777777" w:rsidR="000D2898" w:rsidRPr="00B558BF" w:rsidRDefault="000D2898" w:rsidP="00DC5FC0">
      <w:r w:rsidRPr="00B558BF">
        <w:t>II - Assessoria de Apoio e Conformidade;</w:t>
      </w:r>
    </w:p>
    <w:p w14:paraId="0CC2B1AA" w14:textId="77777777" w:rsidR="000D2898" w:rsidRPr="00B558BF" w:rsidRDefault="000D2898" w:rsidP="00DC5FC0">
      <w:r w:rsidRPr="00B558BF">
        <w:t>III - Departamento de Sustentação de Tecnologia da Informação e Comunicação de Dados;</w:t>
      </w:r>
    </w:p>
    <w:p w14:paraId="24267896" w14:textId="77777777" w:rsidR="000D2898" w:rsidRPr="00B558BF" w:rsidRDefault="000D2898" w:rsidP="00DC5FC0">
      <w:r w:rsidRPr="00B558BF">
        <w:t>IV - Divisão de Servidores;</w:t>
      </w:r>
    </w:p>
    <w:p w14:paraId="72ECE450" w14:textId="77777777" w:rsidR="000D2898" w:rsidRPr="00B558BF" w:rsidRDefault="000D2898" w:rsidP="00DC5FC0">
      <w:r w:rsidRPr="00B558BF">
        <w:t>V - Serviço de Servidores de Dados;</w:t>
      </w:r>
    </w:p>
    <w:p w14:paraId="04FFB864" w14:textId="77777777" w:rsidR="000D2898" w:rsidRPr="00B558BF" w:rsidRDefault="000D2898" w:rsidP="00DC5FC0">
      <w:r w:rsidRPr="00B558BF">
        <w:t>VI - Serviço de Servidores de Aplicações;</w:t>
      </w:r>
    </w:p>
    <w:p w14:paraId="61519A62" w14:textId="77777777" w:rsidR="000D2898" w:rsidRPr="00B558BF" w:rsidRDefault="000D2898" w:rsidP="00DC5FC0">
      <w:r w:rsidRPr="00B558BF">
        <w:t>VII - Serviço de Processamento de Dados e Monitoramento de Infraestrutura de Tecnologia da Informação e Comunicação de Dados;</w:t>
      </w:r>
    </w:p>
    <w:p w14:paraId="129C9B70" w14:textId="77777777" w:rsidR="000D2898" w:rsidRPr="00B558BF" w:rsidRDefault="000D2898" w:rsidP="00DC5FC0">
      <w:r w:rsidRPr="00B558BF">
        <w:t>VIII - Divisão de Redes;</w:t>
      </w:r>
    </w:p>
    <w:p w14:paraId="1D03D881" w14:textId="77777777" w:rsidR="000D2898" w:rsidRPr="00B558BF" w:rsidRDefault="000D2898" w:rsidP="00DC5FC0">
      <w:r w:rsidRPr="00B558BF">
        <w:t>IX - Serviço de Rede Corporativa;</w:t>
      </w:r>
    </w:p>
    <w:p w14:paraId="379584E9" w14:textId="77777777" w:rsidR="000D2898" w:rsidRPr="00B558BF" w:rsidRDefault="000D2898" w:rsidP="00DC5FC0">
      <w:r w:rsidRPr="00B558BF">
        <w:t>X - Serviço de Segurança de Redes;</w:t>
      </w:r>
    </w:p>
    <w:p w14:paraId="7E18B363" w14:textId="77777777" w:rsidR="000D2898" w:rsidRPr="00B558BF" w:rsidRDefault="000D2898" w:rsidP="00DC5FC0">
      <w:r w:rsidRPr="00B558BF">
        <w:t>XI - Divisão de Banco de Dados;</w:t>
      </w:r>
    </w:p>
    <w:p w14:paraId="14A6C784" w14:textId="77777777" w:rsidR="000D2898" w:rsidRPr="00B558BF" w:rsidRDefault="000D2898" w:rsidP="00DC5FC0">
      <w:r w:rsidRPr="00B558BF">
        <w:t>XII - Serviço de Administração de Banco de Dados Corporativos;</w:t>
      </w:r>
    </w:p>
    <w:p w14:paraId="5D40D1D1" w14:textId="77777777" w:rsidR="000D2898" w:rsidRPr="00B558BF" w:rsidRDefault="000D2898" w:rsidP="00DC5FC0">
      <w:r w:rsidRPr="00B558BF">
        <w:t>XIII - Serviço de Administração de Banco de Dados Auxiliar;</w:t>
      </w:r>
    </w:p>
    <w:p w14:paraId="1ABE27FA" w14:textId="77777777" w:rsidR="000D2898" w:rsidRPr="00B558BF" w:rsidRDefault="000D2898" w:rsidP="00DC5FC0">
      <w:r w:rsidRPr="00B558BF">
        <w:lastRenderedPageBreak/>
        <w:t>XIV - Departamento de Soluções;</w:t>
      </w:r>
    </w:p>
    <w:p w14:paraId="0C106EA0" w14:textId="77777777" w:rsidR="000D2898" w:rsidRPr="00B558BF" w:rsidRDefault="000D2898" w:rsidP="00DC5FC0">
      <w:r w:rsidRPr="00B558BF">
        <w:t>XV - Divisão de Soluções Judiciais;</w:t>
      </w:r>
    </w:p>
    <w:p w14:paraId="6D70AA91" w14:textId="77777777" w:rsidR="000D2898" w:rsidRPr="00B558BF" w:rsidRDefault="000D2898" w:rsidP="00DC5FC0">
      <w:r w:rsidRPr="00B558BF">
        <w:t>XVI - Serviço de Sustentação aos Sistemas Judiciais;</w:t>
      </w:r>
    </w:p>
    <w:p w14:paraId="164C7098" w14:textId="77777777" w:rsidR="000D2898" w:rsidRPr="00B558BF" w:rsidRDefault="000D2898" w:rsidP="00DC5FC0">
      <w:r w:rsidRPr="00B558BF">
        <w:t>XVII - Serviço de Manutenção de Fluxos Judiciais;</w:t>
      </w:r>
    </w:p>
    <w:p w14:paraId="0D882AB3" w14:textId="77777777" w:rsidR="000D2898" w:rsidRPr="00B558BF" w:rsidRDefault="000D2898" w:rsidP="00DC5FC0">
      <w:r w:rsidRPr="00B558BF">
        <w:t>XVIII - Serviço de Sustentação aos Sistemas Auxiliares Judiciais;</w:t>
      </w:r>
    </w:p>
    <w:p w14:paraId="3BDAC056" w14:textId="77777777" w:rsidR="000D2898" w:rsidRPr="00B558BF" w:rsidRDefault="000D2898" w:rsidP="00DC5FC0">
      <w:r w:rsidRPr="00B558BF">
        <w:t>XIX - Divisão de Componentes, Automação, Análise de Dados e Portal de Soluções;</w:t>
      </w:r>
    </w:p>
    <w:p w14:paraId="52117CA2" w14:textId="77777777" w:rsidR="000D2898" w:rsidRPr="00B558BF" w:rsidRDefault="000D2898" w:rsidP="00DC5FC0">
      <w:r w:rsidRPr="00B558BF">
        <w:t>XX - Serviço de Análise de Dados e Gestão; XXI - Serviço de Soluções de Componentes Corporativos;</w:t>
      </w:r>
    </w:p>
    <w:p w14:paraId="03E72115" w14:textId="77777777" w:rsidR="000D2898" w:rsidRPr="00B558BF" w:rsidRDefault="000D2898" w:rsidP="00DC5FC0">
      <w:r w:rsidRPr="00B558BF">
        <w:t>XXII - Serviço de Soluções de Automação e Integrações;</w:t>
      </w:r>
    </w:p>
    <w:p w14:paraId="54ECC804" w14:textId="77777777" w:rsidR="000D2898" w:rsidRPr="00B558BF" w:rsidRDefault="000D2898" w:rsidP="00DC5FC0">
      <w:r w:rsidRPr="00B558BF">
        <w:t>XXIII - Serviço de Soluções de Portal Corporativo;</w:t>
      </w:r>
    </w:p>
    <w:p w14:paraId="1AC233CC" w14:textId="77777777" w:rsidR="000D2898" w:rsidRPr="00B558BF" w:rsidRDefault="000D2898" w:rsidP="00DC5FC0">
      <w:r w:rsidRPr="00B558BF">
        <w:t>XXIV - Divisão de Soluções Administrativas;</w:t>
      </w:r>
    </w:p>
    <w:p w14:paraId="2749D3A1" w14:textId="77777777" w:rsidR="000D2898" w:rsidRPr="00B558BF" w:rsidRDefault="000D2898" w:rsidP="00DC5FC0">
      <w:r w:rsidRPr="00B558BF">
        <w:t>XXV - Serviço de Soluções Financeiras;</w:t>
      </w:r>
    </w:p>
    <w:p w14:paraId="56489C02" w14:textId="77777777" w:rsidR="000D2898" w:rsidRPr="00B558BF" w:rsidRDefault="000D2898" w:rsidP="00DC5FC0">
      <w:r w:rsidRPr="00B558BF">
        <w:t>XXVI - Serviço de Soluções de Gestão Operacional;</w:t>
      </w:r>
    </w:p>
    <w:p w14:paraId="3A95CE5F" w14:textId="77777777" w:rsidR="000D2898" w:rsidRPr="00B558BF" w:rsidRDefault="000D2898" w:rsidP="00DC5FC0">
      <w:r w:rsidRPr="00B558BF">
        <w:t>XXVII - Serviço de Soluções Administrativos e Métricas;</w:t>
      </w:r>
    </w:p>
    <w:p w14:paraId="201ADD98" w14:textId="77777777" w:rsidR="000D2898" w:rsidRPr="00B558BF" w:rsidRDefault="000D2898" w:rsidP="00DC5FC0">
      <w:r w:rsidRPr="00B558BF">
        <w:t>XXVIII - Serviço de Soluções de Gestão de Pessoas;</w:t>
      </w:r>
    </w:p>
    <w:p w14:paraId="41B3C3D8" w14:textId="77777777" w:rsidR="000D2898" w:rsidRPr="00B558BF" w:rsidRDefault="000D2898" w:rsidP="00DC5FC0">
      <w:r w:rsidRPr="00B558BF">
        <w:t>XXIX - Departamento de Atendimento e Suporte ao Usuário;</w:t>
      </w:r>
    </w:p>
    <w:p w14:paraId="286D1514" w14:textId="77777777" w:rsidR="000D2898" w:rsidRPr="00B558BF" w:rsidRDefault="000D2898" w:rsidP="00DC5FC0">
      <w:r w:rsidRPr="00B558BF">
        <w:t>XXX - Divisão de Equipamentos de Tecnologia da Informação;</w:t>
      </w:r>
    </w:p>
    <w:p w14:paraId="7BCE7169" w14:textId="77777777" w:rsidR="000D2898" w:rsidRPr="00B558BF" w:rsidRDefault="000D2898" w:rsidP="00DC5FC0">
      <w:r w:rsidRPr="00B558BF">
        <w:t>XXXI - Serviço de Controle e Garantia de Equipamentos de Tecnologia da Informação;</w:t>
      </w:r>
    </w:p>
    <w:p w14:paraId="39E1BE7C" w14:textId="77777777" w:rsidR="000D2898" w:rsidRPr="00B558BF" w:rsidRDefault="000D2898" w:rsidP="00DC5FC0">
      <w:r w:rsidRPr="00B558BF">
        <w:t>XXXII - Serviço de Distribuição de Equipamentos de Tecnologia da Informação;</w:t>
      </w:r>
    </w:p>
    <w:p w14:paraId="24555FE8" w14:textId="77777777" w:rsidR="000D2898" w:rsidRPr="00B558BF" w:rsidRDefault="000D2898" w:rsidP="00DC5FC0">
      <w:r w:rsidRPr="00B558BF">
        <w:t>XXXIII - Serviço de Manutenção de Equipamentos de Tecnologia da Informação;</w:t>
      </w:r>
    </w:p>
    <w:p w14:paraId="7A4D1E58" w14:textId="77777777" w:rsidR="000D2898" w:rsidRPr="00B558BF" w:rsidRDefault="000D2898" w:rsidP="00DC5FC0">
      <w:r w:rsidRPr="00B558BF">
        <w:t>XXXIV - Divisão de Aplicativos de Apoio;</w:t>
      </w:r>
    </w:p>
    <w:p w14:paraId="7B9218B7" w14:textId="77777777" w:rsidR="000D2898" w:rsidRPr="00B558BF" w:rsidRDefault="000D2898" w:rsidP="00DC5FC0">
      <w:r w:rsidRPr="00B558BF">
        <w:t>XXXV - Serviço de Instalação de Aplicativos;</w:t>
      </w:r>
    </w:p>
    <w:p w14:paraId="2ECB2356" w14:textId="77777777" w:rsidR="000D2898" w:rsidRPr="00B558BF" w:rsidRDefault="000D2898" w:rsidP="00DC5FC0">
      <w:r w:rsidRPr="00B558BF">
        <w:t>XXXVI - Serviço de Licenciamento e Controle;</w:t>
      </w:r>
    </w:p>
    <w:p w14:paraId="421761A6" w14:textId="77777777" w:rsidR="000D2898" w:rsidRPr="00B558BF" w:rsidRDefault="000D2898" w:rsidP="00DC5FC0">
      <w:r w:rsidRPr="00B558BF">
        <w:t>XXXVII - Serviço de Padronização e Homologação;</w:t>
      </w:r>
    </w:p>
    <w:p w14:paraId="1609FB1E" w14:textId="77777777" w:rsidR="000D2898" w:rsidRPr="00B558BF" w:rsidRDefault="000D2898" w:rsidP="00DC5FC0">
      <w:r w:rsidRPr="00B558BF">
        <w:t>XXXVIII - Serviço de Suporte aos Usuários de Aplicativos;</w:t>
      </w:r>
    </w:p>
    <w:p w14:paraId="17F37143" w14:textId="77777777" w:rsidR="000D2898" w:rsidRPr="00B558BF" w:rsidRDefault="000D2898" w:rsidP="00DC5FC0">
      <w:r w:rsidRPr="00B558BF">
        <w:t>XXXIX - Divisão de Suporte e Controle de Incidentes dos Sistemas Corporativos Judiciais;</w:t>
      </w:r>
    </w:p>
    <w:p w14:paraId="714CD621" w14:textId="77777777" w:rsidR="000D2898" w:rsidRPr="00B558BF" w:rsidRDefault="000D2898" w:rsidP="00DC5FC0">
      <w:r w:rsidRPr="00B558BF">
        <w:t>XL - Serviço de Suporte a Sistemas;</w:t>
      </w:r>
    </w:p>
    <w:p w14:paraId="2BBF9212" w14:textId="77777777" w:rsidR="000D2898" w:rsidRPr="00B558BF" w:rsidRDefault="000D2898" w:rsidP="00DC5FC0">
      <w:r w:rsidRPr="00B558BF">
        <w:t xml:space="preserve">XLI - Serviço de Configurações, Acessos e </w:t>
      </w:r>
      <w:proofErr w:type="spellStart"/>
      <w:r w:rsidRPr="00B558BF">
        <w:t>Permissionamentos</w:t>
      </w:r>
      <w:proofErr w:type="spellEnd"/>
      <w:r w:rsidRPr="00B558BF">
        <w:t>;</w:t>
      </w:r>
    </w:p>
    <w:p w14:paraId="6F538D89" w14:textId="77777777" w:rsidR="000D2898" w:rsidRPr="00B558BF" w:rsidRDefault="000D2898" w:rsidP="00DC5FC0">
      <w:r w:rsidRPr="00B558BF">
        <w:t>XLII - Serviço de Controle de Incidentes e Problemas;</w:t>
      </w:r>
    </w:p>
    <w:p w14:paraId="7369A82B" w14:textId="77777777" w:rsidR="000D2898" w:rsidRPr="00B558BF" w:rsidRDefault="000D2898" w:rsidP="00DC5FC0">
      <w:r w:rsidRPr="00B558BF">
        <w:lastRenderedPageBreak/>
        <w:t>XLIII - Divisão de Capacitação e Análise de Negócio dos Sistemas Corporativos Judiciais;</w:t>
      </w:r>
    </w:p>
    <w:p w14:paraId="37656CF0" w14:textId="77777777" w:rsidR="000D2898" w:rsidRPr="00B558BF" w:rsidRDefault="000D2898" w:rsidP="00DC5FC0">
      <w:r w:rsidRPr="00B558BF">
        <w:t>XLIV - Serviço de Análise de Negócio;</w:t>
      </w:r>
    </w:p>
    <w:p w14:paraId="4910FBA5" w14:textId="77777777" w:rsidR="000D2898" w:rsidRPr="00B558BF" w:rsidRDefault="000D2898" w:rsidP="00DC5FC0">
      <w:r w:rsidRPr="00B558BF">
        <w:t>XLV – Serviço de Capacitação e Aculturamento;</w:t>
      </w:r>
    </w:p>
    <w:p w14:paraId="2B92B538" w14:textId="77777777" w:rsidR="000D2898" w:rsidRPr="00B558BF" w:rsidRDefault="000D2898" w:rsidP="00DC5FC0">
      <w:r w:rsidRPr="00B558BF">
        <w:t>XLVI – Serviço de Teste e Homologação;</w:t>
      </w:r>
    </w:p>
    <w:p w14:paraId="363EFBBD" w14:textId="77777777" w:rsidR="000D2898" w:rsidRPr="00B558BF" w:rsidRDefault="000D2898" w:rsidP="00DC5FC0">
      <w:r w:rsidRPr="00B558BF">
        <w:t>XLVII - Divisão de Suporte a Sistemas Corporativos Administrativos;</w:t>
      </w:r>
    </w:p>
    <w:p w14:paraId="294C45B2" w14:textId="77777777" w:rsidR="000D2898" w:rsidRPr="00B558BF" w:rsidRDefault="000D2898" w:rsidP="00DC5FC0">
      <w:r w:rsidRPr="00B558BF">
        <w:t>XLVIII - Serviço de Suporte a Sistemas Financeiros;</w:t>
      </w:r>
    </w:p>
    <w:p w14:paraId="6E1A94CE" w14:textId="77777777" w:rsidR="000D2898" w:rsidRPr="00B558BF" w:rsidRDefault="000D2898" w:rsidP="00DC5FC0">
      <w:r w:rsidRPr="00B558BF">
        <w:t>XLIX - Serviço de Suporte a Sistemas de Pessoal;</w:t>
      </w:r>
    </w:p>
    <w:p w14:paraId="0CCB8632" w14:textId="77777777" w:rsidR="000D2898" w:rsidRPr="00B558BF" w:rsidRDefault="000D2898" w:rsidP="00DC5FC0">
      <w:r w:rsidRPr="00B558BF">
        <w:t>L - Departamento de Gestão de TIC;</w:t>
      </w:r>
    </w:p>
    <w:p w14:paraId="76E7DA3E" w14:textId="77777777" w:rsidR="000D2898" w:rsidRPr="00B558BF" w:rsidRDefault="000D2898" w:rsidP="00DC5FC0">
      <w:r w:rsidRPr="00B558BF">
        <w:t>LI - Divisão de Planejamento Estratégico e Gestão Orçamentária;</w:t>
      </w:r>
    </w:p>
    <w:p w14:paraId="37AC7190" w14:textId="77777777" w:rsidR="000D2898" w:rsidRPr="00B558BF" w:rsidRDefault="000D2898" w:rsidP="00DC5FC0">
      <w:r w:rsidRPr="00B558BF">
        <w:t>LII - Serviço de Controle do Planejamento Estratégico;</w:t>
      </w:r>
    </w:p>
    <w:p w14:paraId="6D8D70A9" w14:textId="77777777" w:rsidR="000D2898" w:rsidRPr="00B558BF" w:rsidRDefault="000D2898" w:rsidP="00DC5FC0">
      <w:r w:rsidRPr="00B558BF">
        <w:t>LIII - Serviço de Controle de Gestão da Qualidade e Pessoas de TIC;</w:t>
      </w:r>
    </w:p>
    <w:p w14:paraId="6627EAF2" w14:textId="77777777" w:rsidR="000D2898" w:rsidRPr="00B558BF" w:rsidRDefault="000D2898" w:rsidP="00DC5FC0">
      <w:r w:rsidRPr="00B558BF">
        <w:t>LIV - Serviço de Controle e Acompanhamento Orçamentário e de Despesas de TIC;</w:t>
      </w:r>
    </w:p>
    <w:p w14:paraId="246D20F4" w14:textId="77777777" w:rsidR="000D2898" w:rsidRPr="00B558BF" w:rsidRDefault="000D2898" w:rsidP="00DC5FC0">
      <w:r w:rsidRPr="00B558BF">
        <w:t>LV - Divisão de Gestão de Aquisições e Contratos de TIC;</w:t>
      </w:r>
    </w:p>
    <w:p w14:paraId="0995FEB8" w14:textId="77777777" w:rsidR="000D2898" w:rsidRPr="00B558BF" w:rsidRDefault="000D2898" w:rsidP="00DC5FC0">
      <w:r w:rsidRPr="00B558BF">
        <w:t>LVI - Serviço de Planejamento da Contratação;</w:t>
      </w:r>
    </w:p>
    <w:p w14:paraId="5A5996A9" w14:textId="77777777" w:rsidR="000D2898" w:rsidRPr="00B558BF" w:rsidRDefault="000D2898" w:rsidP="00DC5FC0">
      <w:r w:rsidRPr="00B558BF">
        <w:t>LVII - Serviço de Fiscalização e Acompanhamento de Contratos;</w:t>
      </w:r>
    </w:p>
    <w:p w14:paraId="39F5A59D" w14:textId="77777777" w:rsidR="000D2898" w:rsidRPr="00B558BF" w:rsidRDefault="000D2898" w:rsidP="00DC5FC0">
      <w:r w:rsidRPr="00B558BF">
        <w:t>LVIII - Divisão de Escritório de Projetos;</w:t>
      </w:r>
    </w:p>
    <w:p w14:paraId="1FDF582C" w14:textId="77777777" w:rsidR="000D2898" w:rsidRPr="00B558BF" w:rsidRDefault="000D2898" w:rsidP="00DC5FC0">
      <w:r w:rsidRPr="00B558BF">
        <w:t>LIX - Serviço de Acompanhamento e Execução de Projetos e Demandas de TIC;</w:t>
      </w:r>
    </w:p>
    <w:p w14:paraId="5646452F" w14:textId="77777777" w:rsidR="000D2898" w:rsidRPr="00B558BF" w:rsidRDefault="000D2898" w:rsidP="00DC5FC0">
      <w:r w:rsidRPr="00B558BF">
        <w:t xml:space="preserve">LX - Departamento de Processo Judicial Eletrônico – </w:t>
      </w:r>
      <w:proofErr w:type="spellStart"/>
      <w:r w:rsidRPr="00B558BF">
        <w:t>PJe</w:t>
      </w:r>
      <w:proofErr w:type="spellEnd"/>
      <w:r w:rsidRPr="00B558BF">
        <w:t>;</w:t>
      </w:r>
    </w:p>
    <w:p w14:paraId="60D8F490" w14:textId="77777777" w:rsidR="000D2898" w:rsidRPr="00B558BF" w:rsidRDefault="000D2898" w:rsidP="00DC5FC0">
      <w:r w:rsidRPr="00B558BF">
        <w:t xml:space="preserve">LXI - Divisão de Arquitetura do </w:t>
      </w:r>
      <w:proofErr w:type="spellStart"/>
      <w:r w:rsidRPr="00B558BF">
        <w:t>PJe</w:t>
      </w:r>
      <w:proofErr w:type="spellEnd"/>
      <w:r w:rsidRPr="00B558BF">
        <w:t>;</w:t>
      </w:r>
    </w:p>
    <w:p w14:paraId="7E2B2601" w14:textId="77777777" w:rsidR="000D2898" w:rsidRPr="00B558BF" w:rsidRDefault="000D2898" w:rsidP="00DC5FC0">
      <w:r w:rsidRPr="00B558BF">
        <w:t xml:space="preserve">LXII - Serviço de Desenvolvimento do </w:t>
      </w:r>
      <w:proofErr w:type="spellStart"/>
      <w:r w:rsidRPr="00B558BF">
        <w:t>PJe</w:t>
      </w:r>
      <w:proofErr w:type="spellEnd"/>
      <w:r w:rsidRPr="00B558BF">
        <w:t>;</w:t>
      </w:r>
    </w:p>
    <w:p w14:paraId="585DF191" w14:textId="77777777" w:rsidR="000D2898" w:rsidRPr="00B558BF" w:rsidRDefault="000D2898" w:rsidP="00DC5FC0">
      <w:r w:rsidRPr="00B558BF">
        <w:t xml:space="preserve">LXIII - Divisão de Sustentação e Operação do </w:t>
      </w:r>
      <w:proofErr w:type="spellStart"/>
      <w:r w:rsidRPr="00B558BF">
        <w:t>PJe</w:t>
      </w:r>
      <w:proofErr w:type="spellEnd"/>
      <w:r w:rsidRPr="00B558BF">
        <w:t>;</w:t>
      </w:r>
    </w:p>
    <w:p w14:paraId="27093599" w14:textId="77777777" w:rsidR="000D2898" w:rsidRPr="00B558BF" w:rsidRDefault="000D2898" w:rsidP="00DC5FC0">
      <w:r w:rsidRPr="00B558BF">
        <w:t xml:space="preserve">LXIV - Serviço de Infraestrutura de Bancos de Dados e Servidores do </w:t>
      </w:r>
      <w:proofErr w:type="spellStart"/>
      <w:r w:rsidRPr="00B558BF">
        <w:t>PJe</w:t>
      </w:r>
      <w:proofErr w:type="spellEnd"/>
      <w:r w:rsidRPr="00B558BF">
        <w:t>;</w:t>
      </w:r>
    </w:p>
    <w:p w14:paraId="2759F3F8" w14:textId="77777777" w:rsidR="000D2898" w:rsidRPr="00B558BF" w:rsidRDefault="000D2898" w:rsidP="00DC5FC0">
      <w:r w:rsidRPr="00B558BF">
        <w:t xml:space="preserve">LXV - Divisão de Apoio ao Usuário do </w:t>
      </w:r>
      <w:proofErr w:type="spellStart"/>
      <w:r w:rsidRPr="00B558BF">
        <w:t>PJe</w:t>
      </w:r>
      <w:proofErr w:type="spellEnd"/>
      <w:r w:rsidRPr="00B558BF">
        <w:t>;</w:t>
      </w:r>
    </w:p>
    <w:p w14:paraId="40F12C36" w14:textId="6DD59B8C" w:rsidR="000D2898" w:rsidRDefault="000D2898" w:rsidP="00DC5FC0">
      <w:r w:rsidRPr="00B558BF">
        <w:t xml:space="preserve">LXVI - Serviço de Suporte ao </w:t>
      </w:r>
      <w:proofErr w:type="spellStart"/>
      <w:r w:rsidRPr="00B558BF">
        <w:t>PJe</w:t>
      </w:r>
      <w:proofErr w:type="spellEnd"/>
      <w:r w:rsidRPr="00B558BF">
        <w:t>.</w:t>
      </w:r>
    </w:p>
    <w:p w14:paraId="36BD43EC" w14:textId="77777777" w:rsidR="00737445" w:rsidRPr="00B558BF" w:rsidRDefault="00737445" w:rsidP="000D28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14:paraId="3FB16658" w14:textId="3992AF95" w:rsidR="00550F0E" w:rsidRPr="004779B9" w:rsidRDefault="00550F0E" w:rsidP="00DC5FC0">
      <w:pPr>
        <w:pStyle w:val="Ttulo2"/>
      </w:pPr>
      <w:bookmarkStart w:id="51" w:name="_Toc166579479"/>
      <w:r>
        <w:t>2</w:t>
      </w:r>
      <w:r w:rsidRPr="004779B9">
        <w:t xml:space="preserve">.2. </w:t>
      </w:r>
      <w:r w:rsidR="00E34E01">
        <w:t>Administração Superior</w:t>
      </w:r>
      <w:bookmarkEnd w:id="51"/>
    </w:p>
    <w:p w14:paraId="67F9B883" w14:textId="50437D82" w:rsidR="00E34E01" w:rsidRPr="00BD78A2" w:rsidRDefault="00E34E01" w:rsidP="00BD78A2">
      <w:pPr>
        <w:pStyle w:val="PargrafodaLista"/>
        <w:numPr>
          <w:ilvl w:val="0"/>
          <w:numId w:val="28"/>
        </w:numPr>
      </w:pPr>
      <w:r w:rsidRPr="00BD78A2">
        <w:rPr>
          <w:b/>
        </w:rPr>
        <w:t>Secretário-Geral</w:t>
      </w:r>
      <w:r w:rsidRPr="00BD78A2">
        <w:t xml:space="preserve">: </w:t>
      </w:r>
      <w:r w:rsidR="00331D0B" w:rsidRPr="00BD78A2">
        <w:t xml:space="preserve">Daniel de Lima </w:t>
      </w:r>
      <w:proofErr w:type="spellStart"/>
      <w:r w:rsidR="00331D0B" w:rsidRPr="00BD78A2">
        <w:t>Haab</w:t>
      </w:r>
      <w:proofErr w:type="spellEnd"/>
    </w:p>
    <w:p w14:paraId="4832C8B5" w14:textId="6051F7B3" w:rsidR="00331D0B" w:rsidRPr="00BD78A2" w:rsidRDefault="00331D0B" w:rsidP="00BD78A2">
      <w:pPr>
        <w:pStyle w:val="PargrafodaLista"/>
        <w:numPr>
          <w:ilvl w:val="0"/>
          <w:numId w:val="28"/>
        </w:numPr>
      </w:pPr>
      <w:r w:rsidRPr="00BD78A2">
        <w:rPr>
          <w:b/>
        </w:rPr>
        <w:t>E-mail</w:t>
      </w:r>
      <w:r w:rsidRPr="00BD78A2">
        <w:t xml:space="preserve">: </w:t>
      </w:r>
      <w:hyperlink r:id="rId17" w:history="1">
        <w:r w:rsidRPr="00BD78A2">
          <w:rPr>
            <w:rStyle w:val="Hyperlink"/>
          </w:rPr>
          <w:t>sgtec@tjrj.jus.br</w:t>
        </w:r>
      </w:hyperlink>
    </w:p>
    <w:p w14:paraId="06A7C164" w14:textId="77777777" w:rsidR="00BD78A2" w:rsidRPr="00BD78A2" w:rsidRDefault="00BD78A2" w:rsidP="00BD78A2">
      <w:pPr>
        <w:pStyle w:val="PargrafodaLista"/>
      </w:pPr>
    </w:p>
    <w:p w14:paraId="722859B8" w14:textId="2A5E81D6" w:rsidR="00E34E01" w:rsidRPr="00BD78A2" w:rsidRDefault="00E34E01" w:rsidP="00BD78A2">
      <w:pPr>
        <w:pStyle w:val="PargrafodaLista"/>
        <w:numPr>
          <w:ilvl w:val="0"/>
          <w:numId w:val="27"/>
        </w:numPr>
      </w:pPr>
      <w:r w:rsidRPr="00BD78A2">
        <w:rPr>
          <w:b/>
        </w:rPr>
        <w:lastRenderedPageBreak/>
        <w:t>RD:</w:t>
      </w:r>
      <w:r w:rsidRPr="00BD78A2">
        <w:t xml:space="preserve"> </w:t>
      </w:r>
      <w:r w:rsidR="00B558BF" w:rsidRPr="00BD78A2">
        <w:t>Braulio Bezerra de Menezes Souza</w:t>
      </w:r>
    </w:p>
    <w:p w14:paraId="54A8896C" w14:textId="379B194A" w:rsidR="00B558BF" w:rsidRPr="00BD78A2" w:rsidRDefault="00B558BF" w:rsidP="00BD78A2">
      <w:pPr>
        <w:pStyle w:val="PargrafodaLista"/>
        <w:numPr>
          <w:ilvl w:val="0"/>
          <w:numId w:val="27"/>
        </w:numPr>
      </w:pPr>
      <w:r w:rsidRPr="00BD78A2">
        <w:rPr>
          <w:b/>
        </w:rPr>
        <w:t>E-mail</w:t>
      </w:r>
      <w:r w:rsidRPr="00BD78A2">
        <w:t xml:space="preserve">: </w:t>
      </w:r>
      <w:hyperlink r:id="rId18" w:history="1">
        <w:r w:rsidR="00BD78A2" w:rsidRPr="002E262A">
          <w:rPr>
            <w:rStyle w:val="Hyperlink"/>
          </w:rPr>
          <w:t>brauliosouza@tjrj.jus.br</w:t>
        </w:r>
      </w:hyperlink>
      <w:r w:rsidR="00BD78A2">
        <w:t xml:space="preserve"> </w:t>
      </w:r>
    </w:p>
    <w:p w14:paraId="246A555C" w14:textId="77777777" w:rsidR="00BD78A2" w:rsidRPr="00BD78A2" w:rsidRDefault="00BD78A2" w:rsidP="00BD78A2">
      <w:pPr>
        <w:pStyle w:val="PargrafodaLista"/>
      </w:pPr>
    </w:p>
    <w:p w14:paraId="694F3CD5" w14:textId="6CB2DA37" w:rsidR="00B558BF" w:rsidRPr="00BD78A2" w:rsidRDefault="00B558BF" w:rsidP="00BD78A2">
      <w:pPr>
        <w:pStyle w:val="PargrafodaLista"/>
        <w:numPr>
          <w:ilvl w:val="0"/>
          <w:numId w:val="27"/>
        </w:numPr>
      </w:pPr>
      <w:r w:rsidRPr="00BD78A2">
        <w:rPr>
          <w:b/>
        </w:rPr>
        <w:t>Substituto de RD</w:t>
      </w:r>
      <w:r w:rsidRPr="00BD78A2">
        <w:t>: Leandro José Soares</w:t>
      </w:r>
    </w:p>
    <w:p w14:paraId="778E589E" w14:textId="2E53D91C" w:rsidR="00B558BF" w:rsidRPr="00BD78A2" w:rsidRDefault="00B558BF" w:rsidP="00BD78A2">
      <w:pPr>
        <w:pStyle w:val="PargrafodaLista"/>
        <w:numPr>
          <w:ilvl w:val="0"/>
          <w:numId w:val="27"/>
        </w:numPr>
      </w:pPr>
      <w:r w:rsidRPr="00BD78A2">
        <w:rPr>
          <w:b/>
        </w:rPr>
        <w:t>E-mail</w:t>
      </w:r>
      <w:r w:rsidRPr="00BD78A2">
        <w:t>: soares.leandro@tjrj.jus.br</w:t>
      </w:r>
    </w:p>
    <w:p w14:paraId="025DFC9B" w14:textId="77777777" w:rsidR="00B558BF" w:rsidRPr="00331D0B" w:rsidRDefault="00B558BF" w:rsidP="00B558B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5900AD96" w14:textId="277CB7D1" w:rsidR="00550F0E" w:rsidRPr="004779B9" w:rsidRDefault="00550F0E" w:rsidP="00DC5FC0">
      <w:pPr>
        <w:pStyle w:val="Ttulo1"/>
      </w:pPr>
      <w:bookmarkStart w:id="52" w:name="_Toc166579480"/>
      <w:r>
        <w:t>3.</w:t>
      </w:r>
      <w:r w:rsidRPr="004779B9">
        <w:t xml:space="preserve"> </w:t>
      </w:r>
      <w:r>
        <w:t>D</w:t>
      </w:r>
      <w:r w:rsidR="00E34E01">
        <w:t>EPARTAMENTOS</w:t>
      </w:r>
      <w:bookmarkEnd w:id="52"/>
    </w:p>
    <w:p w14:paraId="23F4F917" w14:textId="7A008954" w:rsidR="00E34E01" w:rsidRPr="00E00904" w:rsidRDefault="00550F0E" w:rsidP="00E00904">
      <w:pPr>
        <w:pStyle w:val="Ttulo2"/>
      </w:pPr>
      <w:bookmarkStart w:id="53" w:name="_Toc166579481"/>
      <w:r w:rsidRPr="00E00904">
        <w:t xml:space="preserve">3.1 - </w:t>
      </w:r>
      <w:hyperlink r:id="rId19" w:tooltip="Departamento de Sustentação de Tecnologia da Informação e Comunicação de Dados (DETIC), clique para expandir ou recolher o menu." w:history="1">
        <w:r w:rsidR="004548DB" w:rsidRPr="00E00904">
          <w:t>Departamento de Sustentação de Tecnologia da Informação e Comunicação de Dados (DETIC)</w:t>
        </w:r>
        <w:bookmarkEnd w:id="53"/>
      </w:hyperlink>
    </w:p>
    <w:p w14:paraId="5307C113" w14:textId="77777777" w:rsidR="004548DB" w:rsidRDefault="004548DB" w:rsidP="00BD78A2">
      <w:r>
        <w:t>Cabe ao Departamento de Sustentação de Tecnologia da Informação e Comunicação de Dados prover e supervisionar toda a infraestrutura de tecnologia da informação (TI) necessária ao bom desempenho das atividades do Poder Judiciário do Estado do Rio de Janeiro.</w:t>
      </w:r>
    </w:p>
    <w:p w14:paraId="05131FAE" w14:textId="77777777" w:rsidR="004548DB" w:rsidRDefault="004548DB" w:rsidP="00BD78A2">
      <w:r>
        <w:t>I - Divisão de Servidores;</w:t>
      </w:r>
    </w:p>
    <w:p w14:paraId="122E55CA" w14:textId="77777777" w:rsidR="004548DB" w:rsidRDefault="004548DB" w:rsidP="00BD78A2">
      <w:r>
        <w:t>II - Divisão de Redes;</w:t>
      </w:r>
    </w:p>
    <w:p w14:paraId="6B86EA0A" w14:textId="7217B2AC" w:rsidR="004548DB" w:rsidRDefault="004548DB" w:rsidP="00BD78A2">
      <w:r>
        <w:t>III - Divisão de Banco de Dados;</w:t>
      </w:r>
    </w:p>
    <w:p w14:paraId="31CD704E" w14:textId="440E7850" w:rsidR="004548DB" w:rsidRPr="00BD78A2" w:rsidRDefault="004548DB" w:rsidP="00BD78A2">
      <w:pPr>
        <w:rPr>
          <w:b/>
        </w:rPr>
      </w:pPr>
      <w:r w:rsidRPr="00BD78A2">
        <w:t xml:space="preserve">São unidades da </w:t>
      </w:r>
      <w:r w:rsidRPr="00BD78A2">
        <w:rPr>
          <w:b/>
        </w:rPr>
        <w:t>Divisão de Servidores:</w:t>
      </w:r>
    </w:p>
    <w:p w14:paraId="0D53B489" w14:textId="77777777" w:rsidR="004548DB" w:rsidRDefault="004548DB" w:rsidP="00BD78A2">
      <w:r>
        <w:t>I - Serviço de Servidores de Dados;</w:t>
      </w:r>
    </w:p>
    <w:p w14:paraId="5F3DE1B1" w14:textId="77777777" w:rsidR="004548DB" w:rsidRDefault="004548DB" w:rsidP="00BD78A2">
      <w:r>
        <w:t>II - Serviço de Servidores de Aplicações;</w:t>
      </w:r>
    </w:p>
    <w:p w14:paraId="6B2C63E3" w14:textId="77777777" w:rsidR="004548DB" w:rsidRDefault="004548DB" w:rsidP="00BD78A2">
      <w:r>
        <w:t>III -Serviço de Processamento de Dados e Monitoramento de Infraestrutura de Tecnologia da Informação e Comunicação de Dados.</w:t>
      </w:r>
    </w:p>
    <w:p w14:paraId="315A1EC1" w14:textId="5A5930D4" w:rsidR="004548DB" w:rsidRPr="00BD78A2" w:rsidRDefault="004548DB" w:rsidP="00BD78A2">
      <w:pPr>
        <w:rPr>
          <w:b/>
        </w:rPr>
      </w:pPr>
      <w:r w:rsidRPr="00BD78A2">
        <w:t xml:space="preserve">São unidades da </w:t>
      </w:r>
      <w:r w:rsidRPr="00BD78A2">
        <w:rPr>
          <w:b/>
        </w:rPr>
        <w:t>Divisão de Redes:</w:t>
      </w:r>
    </w:p>
    <w:p w14:paraId="27711B4D" w14:textId="77777777" w:rsidR="004548DB" w:rsidRDefault="004548DB" w:rsidP="00BD78A2">
      <w:r>
        <w:t>I - Serviço de Rede Corporativa;</w:t>
      </w:r>
    </w:p>
    <w:p w14:paraId="695A915A" w14:textId="349DDE97" w:rsidR="004548DB" w:rsidRDefault="004548DB" w:rsidP="00BD78A2">
      <w:r>
        <w:t>II - Serviço de Segurança de Redes.</w:t>
      </w:r>
    </w:p>
    <w:p w14:paraId="52870F39" w14:textId="03532089" w:rsidR="004548DB" w:rsidRPr="00BD78A2" w:rsidRDefault="004548DB" w:rsidP="00BD78A2">
      <w:pPr>
        <w:rPr>
          <w:b/>
        </w:rPr>
      </w:pPr>
      <w:r w:rsidRPr="00BD78A2">
        <w:t xml:space="preserve">São unidades da </w:t>
      </w:r>
      <w:r w:rsidRPr="00BD78A2">
        <w:rPr>
          <w:b/>
        </w:rPr>
        <w:t>Divisão de Banco de Dados:</w:t>
      </w:r>
    </w:p>
    <w:p w14:paraId="5A2D607A" w14:textId="77777777" w:rsidR="004548DB" w:rsidRDefault="004548DB" w:rsidP="00BD78A2">
      <w:r>
        <w:t>I - Serviço de Administração de Banco de Dados Corporativos;</w:t>
      </w:r>
    </w:p>
    <w:p w14:paraId="225FDC45" w14:textId="2DCADA81" w:rsidR="004548DB" w:rsidRDefault="004548DB" w:rsidP="00BD78A2">
      <w:r>
        <w:t>II - Serviço de Administração de Banco de Dados Auxiliar.</w:t>
      </w:r>
    </w:p>
    <w:p w14:paraId="393B10EF" w14:textId="32AF3E46" w:rsidR="004548DB" w:rsidRPr="00BD78A2" w:rsidRDefault="004548DB" w:rsidP="00BD78A2">
      <w:r w:rsidRPr="00BD78A2">
        <w:rPr>
          <w:b/>
        </w:rPr>
        <w:t>Diretor</w:t>
      </w:r>
      <w:r w:rsidRPr="00BD78A2">
        <w:t>: Raphael Gualberto Trovão</w:t>
      </w:r>
    </w:p>
    <w:p w14:paraId="57385ED9" w14:textId="44EB79B8" w:rsidR="004548DB" w:rsidRDefault="004548DB" w:rsidP="00BD78A2">
      <w:pPr>
        <w:rPr>
          <w:shd w:val="clear" w:color="auto" w:fill="FFFFFF"/>
        </w:rPr>
      </w:pPr>
      <w:r w:rsidRPr="000E598C">
        <w:rPr>
          <w:b/>
          <w:shd w:val="clear" w:color="auto" w:fill="FFFFFF"/>
        </w:rPr>
        <w:t>E-mail:</w:t>
      </w:r>
      <w:r>
        <w:rPr>
          <w:shd w:val="clear" w:color="auto" w:fill="FFFFFF"/>
        </w:rPr>
        <w:t xml:space="preserve"> </w:t>
      </w:r>
      <w:hyperlink r:id="rId20" w:history="1">
        <w:r w:rsidR="00737445" w:rsidRPr="00084947">
          <w:rPr>
            <w:rStyle w:val="Hyperlink"/>
            <w:rFonts w:ascii="Arial" w:hAnsi="Arial" w:cs="Arial"/>
            <w:shd w:val="clear" w:color="auto" w:fill="FFFFFF"/>
          </w:rPr>
          <w:t>detic.asse@tjrj.jus.br</w:t>
        </w:r>
      </w:hyperlink>
    </w:p>
    <w:p w14:paraId="18A967C1" w14:textId="77777777" w:rsidR="00737445" w:rsidRDefault="00737445" w:rsidP="00E34E01">
      <w:pPr>
        <w:pStyle w:val="NormalWeb"/>
        <w:shd w:val="clear" w:color="auto" w:fill="FFFFFF"/>
        <w:spacing w:before="0" w:beforeAutospacing="0" w:after="150" w:afterAutospacing="0"/>
      </w:pPr>
    </w:p>
    <w:p w14:paraId="35C3D147" w14:textId="3D116244" w:rsidR="00E34E01" w:rsidRPr="001F5B10" w:rsidRDefault="00550F0E" w:rsidP="00DC5FC0">
      <w:pPr>
        <w:pStyle w:val="Ttulo2"/>
      </w:pPr>
      <w:bookmarkStart w:id="54" w:name="_Toc166579482"/>
      <w:r>
        <w:lastRenderedPageBreak/>
        <w:t>3</w:t>
      </w:r>
      <w:r w:rsidRPr="004779B9">
        <w:t>.</w:t>
      </w:r>
      <w:r>
        <w:t xml:space="preserve">2 - </w:t>
      </w:r>
      <w:r w:rsidR="00737445" w:rsidRPr="00737445">
        <w:t>Departamento de Atendimento e Suporte ao Usuário (DEATE)</w:t>
      </w:r>
      <w:bookmarkEnd w:id="54"/>
    </w:p>
    <w:p w14:paraId="5904E673" w14:textId="77777777" w:rsidR="00737445" w:rsidRDefault="00737445" w:rsidP="000E615C">
      <w:r>
        <w:t>Cabe ao Departamento de Atendimento e Suporte ao Usuário:</w:t>
      </w:r>
    </w:p>
    <w:p w14:paraId="2C09A9E9" w14:textId="77777777" w:rsidR="00737445" w:rsidRDefault="00737445" w:rsidP="000E615C">
      <w:r>
        <w:t>a) administrar a política de equipamentos de informática de pequeno porte;</w:t>
      </w:r>
    </w:p>
    <w:p w14:paraId="09C82B36" w14:textId="77777777" w:rsidR="00737445" w:rsidRDefault="00737445" w:rsidP="000E615C">
      <w:r>
        <w:t>b) suprir o Secretário-Geral de Tecnologia da Informação e a Administração do Poder Judiciário do Estado do Rio de Janeiro de informações para tomada de decisões a respeito de equipamentos de informática de pequeno porte, como: obsolescência, situação do estoque, distribuição dos equipamentos, necessidades de aquisição;</w:t>
      </w:r>
    </w:p>
    <w:p w14:paraId="5F2E68BE" w14:textId="77777777" w:rsidR="00737445" w:rsidRDefault="00737445" w:rsidP="000E615C">
      <w:r>
        <w:t>c) administrar a política de aplicativos de apoio e sistemas;</w:t>
      </w:r>
    </w:p>
    <w:p w14:paraId="12752EB9" w14:textId="77777777" w:rsidR="00737445" w:rsidRDefault="00737445" w:rsidP="000E615C">
      <w:r>
        <w:t>d) suprir o Secretário-Geral de Tecnologia da Informação e a Administração de informações para tomada de decisões a respeito de aplicativos de apoio e sistemas, como: política de acessos, necessidades de aquisição e distribuição de licenças;</w:t>
      </w:r>
    </w:p>
    <w:p w14:paraId="348E1FB0" w14:textId="77777777" w:rsidR="00737445" w:rsidRDefault="00737445" w:rsidP="000E615C">
      <w:r>
        <w:t>e) monitorar e controlar a produtividade e qualidade dos serviços de suporte, treinamento e implantação, coordenando as iniciativas</w:t>
      </w:r>
    </w:p>
    <w:p w14:paraId="4B626A6B" w14:textId="77777777" w:rsidR="00737445" w:rsidRDefault="00737445" w:rsidP="000E615C">
      <w:r>
        <w:t>de melhoria contínua dos serviços, bem como atuando junto às empresas externas contratadas, para que os níveis de serviços acordados sejam cumpridos;</w:t>
      </w:r>
    </w:p>
    <w:p w14:paraId="19996FA7" w14:textId="77777777" w:rsidR="00737445" w:rsidRDefault="00737445" w:rsidP="000E615C">
      <w:r>
        <w:t>f) administrar as políticas de treinamento e implantação de sistemas;</w:t>
      </w:r>
    </w:p>
    <w:p w14:paraId="2E5D18E9" w14:textId="77777777" w:rsidR="00737445" w:rsidRDefault="00737445" w:rsidP="000E615C">
      <w:r>
        <w:t>g) gerir os recursos humanos e tecnológicos do Departamento, de forma a alocá-los da melhor maneira possível nas divisões e serviços, de acordo com as necessidades e demandas de cada área;</w:t>
      </w:r>
    </w:p>
    <w:p w14:paraId="449161CF" w14:textId="77777777" w:rsidR="00737445" w:rsidRDefault="00737445" w:rsidP="000E615C">
      <w:r>
        <w:t>h) controlar os processos administrativos que são encaminhados ao seu Departamento;</w:t>
      </w:r>
    </w:p>
    <w:p w14:paraId="186220C3" w14:textId="77777777" w:rsidR="00737445" w:rsidRDefault="00737445" w:rsidP="000E615C">
      <w:r>
        <w:t>i) participar de reuniões junto a Administração para definição de estratégias e políticas envolvendo o suporte e treinamento sistemas ou equipamentos de pequeno porte e aplicativos de apoio.</w:t>
      </w:r>
    </w:p>
    <w:p w14:paraId="078F9529" w14:textId="77777777" w:rsidR="00737445" w:rsidRDefault="00737445" w:rsidP="000E615C">
      <w:r>
        <w:t>O Departamento de Atendimento e Suporte ao Usuário compreende as seguintes Unidades:</w:t>
      </w:r>
    </w:p>
    <w:p w14:paraId="2A5A01D7" w14:textId="77777777" w:rsidR="00737445" w:rsidRDefault="00737445" w:rsidP="000E615C">
      <w:r>
        <w:t>I - Divisão de Equipamentos de Tecnologia da Informação;</w:t>
      </w:r>
    </w:p>
    <w:p w14:paraId="5A055492" w14:textId="77777777" w:rsidR="00737445" w:rsidRDefault="00737445" w:rsidP="000E615C">
      <w:r>
        <w:t>II - Divisão de Aplicativos de Apoio;</w:t>
      </w:r>
    </w:p>
    <w:p w14:paraId="198A391C" w14:textId="77777777" w:rsidR="00737445" w:rsidRDefault="00737445" w:rsidP="000E615C">
      <w:r>
        <w:t>III - Divisão de Suporte a Sistemas Corporativos Administrativos;</w:t>
      </w:r>
    </w:p>
    <w:p w14:paraId="66BDB95E" w14:textId="77777777" w:rsidR="00737445" w:rsidRDefault="00737445" w:rsidP="000E615C">
      <w:r>
        <w:t>IV - Divisão de Suporte e Controle de Incidentes dos Sistemas Corporativos Judiciais;</w:t>
      </w:r>
    </w:p>
    <w:p w14:paraId="177D2EF5" w14:textId="77777777" w:rsidR="00737445" w:rsidRDefault="00737445" w:rsidP="000E615C">
      <w:r>
        <w:t>V - Divisão de Capacitação e Análise de Negócio dos Sistemas Corporativos Judiciais.</w:t>
      </w:r>
    </w:p>
    <w:p w14:paraId="387F1E62" w14:textId="77777777" w:rsidR="00737445" w:rsidRDefault="00737445" w:rsidP="000E615C">
      <w:r>
        <w:t>§ 1.º São unidades da Divisão de Equipamentos de Tecnologia da Informação:</w:t>
      </w:r>
    </w:p>
    <w:p w14:paraId="7FBD63F9" w14:textId="77777777" w:rsidR="00737445" w:rsidRDefault="00737445" w:rsidP="000E615C">
      <w:r>
        <w:t>I - Serviço de Controle e Garantia de Equipamentos de Tecnologia da Informação;</w:t>
      </w:r>
    </w:p>
    <w:p w14:paraId="1FB14783" w14:textId="77777777" w:rsidR="00737445" w:rsidRDefault="00737445" w:rsidP="000E615C">
      <w:r>
        <w:t>II - Serviço de Distribuição de Equipamentos de Tecnologia da Informação;</w:t>
      </w:r>
    </w:p>
    <w:p w14:paraId="6F113066" w14:textId="77777777" w:rsidR="00737445" w:rsidRDefault="00737445" w:rsidP="000E615C">
      <w:r>
        <w:t>III - Serviço de Manutenção de Equipamentos de Tecnologia da Informação.</w:t>
      </w:r>
    </w:p>
    <w:p w14:paraId="017AA1A9" w14:textId="77777777" w:rsidR="00737445" w:rsidRDefault="00737445" w:rsidP="000E615C">
      <w:r>
        <w:t>§ 2.º São unidades da Divisão de Aplicativos de Apoio:</w:t>
      </w:r>
    </w:p>
    <w:p w14:paraId="58987363" w14:textId="77777777" w:rsidR="00737445" w:rsidRDefault="00737445" w:rsidP="000E615C">
      <w:r>
        <w:t>I - Serviço de Instalação de Aplicativos;</w:t>
      </w:r>
    </w:p>
    <w:p w14:paraId="6B8F7022" w14:textId="77777777" w:rsidR="00737445" w:rsidRDefault="00737445" w:rsidP="000E615C">
      <w:r>
        <w:lastRenderedPageBreak/>
        <w:t>II - Serviço de Licenciamento e Controle;</w:t>
      </w:r>
    </w:p>
    <w:p w14:paraId="78CDC57B" w14:textId="77777777" w:rsidR="00737445" w:rsidRDefault="00737445" w:rsidP="000E615C">
      <w:r>
        <w:t>III - Serviço de Padronização e Homologação;</w:t>
      </w:r>
    </w:p>
    <w:p w14:paraId="091DE6B7" w14:textId="77777777" w:rsidR="00737445" w:rsidRDefault="00737445" w:rsidP="000E615C">
      <w:r>
        <w:t>IV - Serviço de Suporte aos Usuários de Aplicativos.</w:t>
      </w:r>
    </w:p>
    <w:p w14:paraId="5B28A4AA" w14:textId="77777777" w:rsidR="00737445" w:rsidRDefault="00737445" w:rsidP="000E615C">
      <w:r>
        <w:t>§ 3.º Divisão de Suporte e Controle de Incidentes dos Sistemas Corporativos Judiciais:</w:t>
      </w:r>
    </w:p>
    <w:p w14:paraId="4141F1B6" w14:textId="77777777" w:rsidR="00737445" w:rsidRDefault="00737445" w:rsidP="000E615C">
      <w:r>
        <w:t>I - Serviço de Suporte a Sistemas;</w:t>
      </w:r>
    </w:p>
    <w:p w14:paraId="19E2B8CC" w14:textId="77777777" w:rsidR="00737445" w:rsidRDefault="00737445" w:rsidP="000E615C">
      <w:r>
        <w:t xml:space="preserve">II - Serviço de Configurações, Acessos e </w:t>
      </w:r>
      <w:proofErr w:type="spellStart"/>
      <w:r>
        <w:t>Permissionamentos</w:t>
      </w:r>
      <w:proofErr w:type="spellEnd"/>
      <w:r>
        <w:t>;</w:t>
      </w:r>
    </w:p>
    <w:p w14:paraId="29D8303E" w14:textId="77777777" w:rsidR="00737445" w:rsidRDefault="00737445" w:rsidP="000E615C">
      <w:r>
        <w:t>III - Serviço de Controle de Incidentes e Problemas.</w:t>
      </w:r>
    </w:p>
    <w:p w14:paraId="65BF94F6" w14:textId="77777777" w:rsidR="00737445" w:rsidRDefault="00737445" w:rsidP="000E615C">
      <w:r>
        <w:t>§ 4.º Divisão de Capacitação e Análise de Negócio dos Sistemas Corporativos Judiciais:</w:t>
      </w:r>
    </w:p>
    <w:p w14:paraId="01C2846D" w14:textId="77777777" w:rsidR="00737445" w:rsidRDefault="00737445" w:rsidP="000E615C">
      <w:r>
        <w:t>I - Serviço de Análise de Negócio;</w:t>
      </w:r>
    </w:p>
    <w:p w14:paraId="1E5F0205" w14:textId="77777777" w:rsidR="00737445" w:rsidRDefault="00737445" w:rsidP="000E615C">
      <w:r>
        <w:t>II - Serviço de Capacitação e Aculturamento;</w:t>
      </w:r>
    </w:p>
    <w:p w14:paraId="3DDD4B0B" w14:textId="77777777" w:rsidR="00737445" w:rsidRDefault="00737445" w:rsidP="000E615C">
      <w:r>
        <w:t>III - Serviço de Teste e Homologação.</w:t>
      </w:r>
    </w:p>
    <w:p w14:paraId="6D94AB93" w14:textId="77777777" w:rsidR="00737445" w:rsidRDefault="00737445" w:rsidP="000E615C">
      <w:r>
        <w:t>§ 5.º São unidades da Divisão de Suporte a Sistemas Corporativos Administrativos:</w:t>
      </w:r>
    </w:p>
    <w:p w14:paraId="7B872AA6" w14:textId="77777777" w:rsidR="00737445" w:rsidRDefault="00737445" w:rsidP="000E615C">
      <w:r>
        <w:t>I - Serviço de Suporte a Sistemas de Pessoal;</w:t>
      </w:r>
    </w:p>
    <w:p w14:paraId="0B7C1313" w14:textId="77777777" w:rsidR="00737445" w:rsidRDefault="00737445" w:rsidP="000E615C">
      <w:r>
        <w:t>II - Serviço de Suporte a Sistemas Financeiros.</w:t>
      </w:r>
    </w:p>
    <w:p w14:paraId="67A2B5D3" w14:textId="77777777" w:rsidR="00737445" w:rsidRPr="00BD78A2" w:rsidRDefault="00737445" w:rsidP="00BD78A2">
      <w:pPr>
        <w:ind w:left="708"/>
      </w:pPr>
      <w:r w:rsidRPr="00BD78A2">
        <w:rPr>
          <w:b/>
        </w:rPr>
        <w:t>Diretora</w:t>
      </w:r>
      <w:r w:rsidRPr="00BD78A2">
        <w:t>: Bárbara Ramos Faria</w:t>
      </w:r>
    </w:p>
    <w:p w14:paraId="2AA38382" w14:textId="7CDDE4E2" w:rsidR="00737445" w:rsidRPr="00BD78A2" w:rsidRDefault="00737445" w:rsidP="00BD78A2">
      <w:pPr>
        <w:ind w:left="708"/>
      </w:pPr>
      <w:r w:rsidRPr="00BD78A2">
        <w:rPr>
          <w:b/>
        </w:rPr>
        <w:t>E-mail</w:t>
      </w:r>
      <w:r w:rsidRPr="00BD78A2">
        <w:t xml:space="preserve">: </w:t>
      </w:r>
      <w:hyperlink r:id="rId21" w:history="1">
        <w:r w:rsidRPr="00BD78A2">
          <w:rPr>
            <w:rStyle w:val="Hyperlink"/>
          </w:rPr>
          <w:t>deatesecretaria@tjrj.jus.br</w:t>
        </w:r>
      </w:hyperlink>
    </w:p>
    <w:p w14:paraId="31C17722" w14:textId="77777777" w:rsidR="00737445" w:rsidRDefault="00737445" w:rsidP="0079239A">
      <w:pPr>
        <w:pStyle w:val="NormalWeb"/>
        <w:shd w:val="clear" w:color="auto" w:fill="FFFFFF"/>
        <w:spacing w:before="0" w:beforeAutospacing="0" w:after="150" w:afterAutospacing="0"/>
      </w:pPr>
    </w:p>
    <w:p w14:paraId="1867F557" w14:textId="77777777" w:rsidR="009C0A6D" w:rsidRDefault="00550F0E" w:rsidP="00DC5FC0">
      <w:pPr>
        <w:pStyle w:val="Ttulo2"/>
        <w:rPr>
          <w:rFonts w:ascii="Arial" w:hAnsi="Arial" w:cs="Arial"/>
          <w:color w:val="7A7A7A"/>
          <w:sz w:val="30"/>
          <w:szCs w:val="30"/>
          <w:shd w:val="clear" w:color="auto" w:fill="FFFFFF"/>
        </w:rPr>
      </w:pPr>
      <w:bookmarkStart w:id="55" w:name="_Toc166579483"/>
      <w:r>
        <w:t>3</w:t>
      </w:r>
      <w:r w:rsidRPr="004779B9">
        <w:t>.</w:t>
      </w:r>
      <w:r>
        <w:t>3 -</w:t>
      </w:r>
      <w:r w:rsidRPr="004779B9">
        <w:t xml:space="preserve"> </w:t>
      </w:r>
      <w:r w:rsidR="009C0A6D" w:rsidRPr="009C0A6D">
        <w:t>Departamento de Soluções (DESOL)</w:t>
      </w:r>
      <w:bookmarkEnd w:id="55"/>
    </w:p>
    <w:p w14:paraId="7E15E2AA" w14:textId="6778288D" w:rsidR="009C0A6D" w:rsidRPr="00BD78A2" w:rsidRDefault="009C0A6D" w:rsidP="00BD78A2">
      <w:pPr>
        <w:rPr>
          <w:b/>
        </w:rPr>
      </w:pPr>
      <w:r w:rsidRPr="00BD78A2">
        <w:t xml:space="preserve">Cabe ao </w:t>
      </w:r>
      <w:r w:rsidRPr="00BD78A2">
        <w:rPr>
          <w:b/>
        </w:rPr>
        <w:t>Departamento de Soluções:</w:t>
      </w:r>
    </w:p>
    <w:p w14:paraId="28A59D07" w14:textId="77777777" w:rsidR="009C0A6D" w:rsidRPr="00BD78A2" w:rsidRDefault="009C0A6D" w:rsidP="00BD78A2">
      <w:r w:rsidRPr="00BD78A2">
        <w:t>a) responder pela concepção, desenvolvimento e implementação de sistemas de natureza corporativa para as unidades organizacionais do Poder Judiciário;</w:t>
      </w:r>
    </w:p>
    <w:p w14:paraId="7485E663" w14:textId="77777777" w:rsidR="009C0A6D" w:rsidRPr="00BD78A2" w:rsidRDefault="009C0A6D" w:rsidP="00BD78A2">
      <w:r w:rsidRPr="00BD78A2">
        <w:t>b) dar apoio técnico e operacional à construção e implementação de sistemas pelas divisões do Departamento;</w:t>
      </w:r>
    </w:p>
    <w:p w14:paraId="4FE463CB" w14:textId="77777777" w:rsidR="009C0A6D" w:rsidRPr="00BD78A2" w:rsidRDefault="009C0A6D" w:rsidP="00BD78A2">
      <w:r w:rsidRPr="00BD78A2">
        <w:t>c) responder pela definição de metodologias, técnicas, ferramentas e padrões utilizados para o desenvolvimento de sistemas;</w:t>
      </w:r>
    </w:p>
    <w:p w14:paraId="07D53818" w14:textId="77777777" w:rsidR="009C0A6D" w:rsidRPr="00BD78A2" w:rsidRDefault="009C0A6D" w:rsidP="00BD78A2">
      <w:r w:rsidRPr="00BD78A2">
        <w:t>d) planejar, coordenar, controlar e divulgar o processo de desenvolvimento de sistemas;</w:t>
      </w:r>
    </w:p>
    <w:p w14:paraId="19D59FED" w14:textId="77777777" w:rsidR="009C0A6D" w:rsidRPr="00BD78A2" w:rsidRDefault="009C0A6D" w:rsidP="00BD78A2">
      <w:r w:rsidRPr="00BD78A2">
        <w:t>e) fiscalizar o cumprimento e a observância dos critérios de desenvolvimento estabelecidos;</w:t>
      </w:r>
    </w:p>
    <w:p w14:paraId="33650B35" w14:textId="77777777" w:rsidR="009C0A6D" w:rsidRPr="00BD78A2" w:rsidRDefault="009C0A6D" w:rsidP="00BD78A2">
      <w:r w:rsidRPr="00BD78A2">
        <w:t>f) planejar e fiscalizar a adequada utilização de recursos nas atividades pertinentes aos sistemas de informação.</w:t>
      </w:r>
    </w:p>
    <w:p w14:paraId="466BCE5D" w14:textId="07CD1A6B" w:rsidR="009C0A6D" w:rsidRPr="00BD78A2" w:rsidRDefault="009C0A6D" w:rsidP="00BD78A2">
      <w:r w:rsidRPr="00BD78A2">
        <w:t xml:space="preserve">O </w:t>
      </w:r>
      <w:r w:rsidRPr="00BD78A2">
        <w:rPr>
          <w:b/>
        </w:rPr>
        <w:t>Departamento de Soluções</w:t>
      </w:r>
      <w:r w:rsidRPr="00BD78A2">
        <w:t xml:space="preserve"> compreende as seguintes Unidades:</w:t>
      </w:r>
    </w:p>
    <w:p w14:paraId="30D8A505" w14:textId="77777777" w:rsidR="009C0A6D" w:rsidRDefault="009C0A6D" w:rsidP="000E615C">
      <w:r>
        <w:t>I - Divisão de Soluções Judiciais;</w:t>
      </w:r>
    </w:p>
    <w:p w14:paraId="023F857D" w14:textId="77777777" w:rsidR="009C0A6D" w:rsidRDefault="009C0A6D" w:rsidP="000E615C">
      <w:r>
        <w:lastRenderedPageBreak/>
        <w:t>II - Divisão de Componentes, Automação, Análise de Dados e Portal de Soluções;</w:t>
      </w:r>
    </w:p>
    <w:p w14:paraId="59F0C9A0" w14:textId="77777777" w:rsidR="009C0A6D" w:rsidRDefault="009C0A6D" w:rsidP="000E615C">
      <w:r>
        <w:t>III -Divisão de Soluções Administrativos.</w:t>
      </w:r>
    </w:p>
    <w:p w14:paraId="0573E855" w14:textId="680025A1" w:rsidR="009C0A6D" w:rsidRPr="006002C6" w:rsidRDefault="009C0A6D" w:rsidP="00BD78A2">
      <w:pPr>
        <w:rPr>
          <w:b/>
        </w:rPr>
      </w:pPr>
      <w:r w:rsidRPr="00BD78A2">
        <w:t>São unidades da</w:t>
      </w:r>
      <w:r w:rsidR="006002C6">
        <w:t xml:space="preserve"> </w:t>
      </w:r>
      <w:r w:rsidRPr="006002C6">
        <w:rPr>
          <w:b/>
        </w:rPr>
        <w:t>Divisão de Soluções Judiciais:</w:t>
      </w:r>
    </w:p>
    <w:p w14:paraId="4AA4A9E5" w14:textId="77777777" w:rsidR="009C0A6D" w:rsidRPr="00BD78A2" w:rsidRDefault="009C0A6D" w:rsidP="00BD78A2">
      <w:r w:rsidRPr="00BD78A2">
        <w:t>I - Serviço de Sustentação aos Sistemas Judiciais;</w:t>
      </w:r>
    </w:p>
    <w:p w14:paraId="2A1685B1" w14:textId="77777777" w:rsidR="009C0A6D" w:rsidRPr="00BD78A2" w:rsidRDefault="009C0A6D" w:rsidP="00BD78A2">
      <w:r w:rsidRPr="00BD78A2">
        <w:t>II - Serviço de Manutenção de Fluxos Judiciais;</w:t>
      </w:r>
    </w:p>
    <w:p w14:paraId="3D13A66D" w14:textId="77777777" w:rsidR="009C0A6D" w:rsidRPr="00BD78A2" w:rsidRDefault="009C0A6D" w:rsidP="00BD78A2">
      <w:r w:rsidRPr="00BD78A2">
        <w:t>III - Serviço de Sustentação aos Sistemas Auxiliares Judiciais.</w:t>
      </w:r>
    </w:p>
    <w:p w14:paraId="35E4763F" w14:textId="53B06013" w:rsidR="009C0A6D" w:rsidRPr="00BD78A2" w:rsidRDefault="009C0A6D" w:rsidP="00BD78A2">
      <w:pPr>
        <w:rPr>
          <w:b/>
        </w:rPr>
      </w:pPr>
      <w:r w:rsidRPr="00BD78A2">
        <w:t>São unidades da</w:t>
      </w:r>
      <w:r w:rsidR="006002C6">
        <w:t xml:space="preserve"> </w:t>
      </w:r>
      <w:r w:rsidRPr="00BD78A2">
        <w:rPr>
          <w:b/>
        </w:rPr>
        <w:t>Divisão de Componentes, Automação, Análise de Dados e Portal de Soluções:</w:t>
      </w:r>
    </w:p>
    <w:p w14:paraId="18990FC7" w14:textId="77777777" w:rsidR="009C0A6D" w:rsidRPr="00BD78A2" w:rsidRDefault="009C0A6D" w:rsidP="00BD78A2">
      <w:r w:rsidRPr="00BD78A2">
        <w:t>I - Serviço de Análise de Dados e Gestão;</w:t>
      </w:r>
    </w:p>
    <w:p w14:paraId="42FF044F" w14:textId="77777777" w:rsidR="009C0A6D" w:rsidRPr="00BD78A2" w:rsidRDefault="009C0A6D" w:rsidP="00BD78A2">
      <w:r w:rsidRPr="00BD78A2">
        <w:t>II - Serviço de Soluções de Componentes Corporativos;</w:t>
      </w:r>
    </w:p>
    <w:p w14:paraId="4C551B52" w14:textId="77777777" w:rsidR="009C0A6D" w:rsidRPr="00BD78A2" w:rsidRDefault="009C0A6D" w:rsidP="00BD78A2">
      <w:r w:rsidRPr="00BD78A2">
        <w:t>III - Serviço de Soluções de Automação e Integrações;</w:t>
      </w:r>
    </w:p>
    <w:p w14:paraId="780603B5" w14:textId="77777777" w:rsidR="009C0A6D" w:rsidRPr="00BD78A2" w:rsidRDefault="009C0A6D" w:rsidP="00BD78A2">
      <w:r w:rsidRPr="00BD78A2">
        <w:t>IV - Serviço de Soluções de Portal Corporativo.</w:t>
      </w:r>
    </w:p>
    <w:p w14:paraId="19C93EAD" w14:textId="77777777" w:rsidR="009C0A6D" w:rsidRPr="00BD78A2" w:rsidRDefault="009C0A6D" w:rsidP="00BD78A2">
      <w:pPr>
        <w:rPr>
          <w:b/>
        </w:rPr>
      </w:pPr>
      <w:r w:rsidRPr="00BD78A2">
        <w:t xml:space="preserve">São unidades da </w:t>
      </w:r>
      <w:r w:rsidRPr="00BD78A2">
        <w:rPr>
          <w:b/>
        </w:rPr>
        <w:t>Divisão de Soluções Administrativos:</w:t>
      </w:r>
    </w:p>
    <w:p w14:paraId="58763981" w14:textId="77777777" w:rsidR="009C0A6D" w:rsidRPr="00BD78A2" w:rsidRDefault="009C0A6D" w:rsidP="00BD78A2">
      <w:r w:rsidRPr="00BD78A2">
        <w:t>I - Serviço de Soluções Financeiras;</w:t>
      </w:r>
    </w:p>
    <w:p w14:paraId="4A88EEB7" w14:textId="77777777" w:rsidR="009C0A6D" w:rsidRPr="00BD78A2" w:rsidRDefault="009C0A6D" w:rsidP="00BD78A2">
      <w:r w:rsidRPr="00BD78A2">
        <w:t>II - Serviço de Soluções de Gestão Operacional;</w:t>
      </w:r>
    </w:p>
    <w:p w14:paraId="023ACF0E" w14:textId="77777777" w:rsidR="009C0A6D" w:rsidRPr="00BD78A2" w:rsidRDefault="009C0A6D" w:rsidP="00BD78A2">
      <w:r w:rsidRPr="00BD78A2">
        <w:t>III - Serviço de Soluções Administrativas e Métricas;</w:t>
      </w:r>
    </w:p>
    <w:p w14:paraId="25260722" w14:textId="77777777" w:rsidR="009C0A6D" w:rsidRPr="00BD78A2" w:rsidRDefault="009C0A6D" w:rsidP="00BD78A2">
      <w:r w:rsidRPr="00BD78A2">
        <w:t>IV - Serviço de Soluções de Gestão de Pessoas.</w:t>
      </w:r>
    </w:p>
    <w:p w14:paraId="44BD9852" w14:textId="3019B734" w:rsidR="0079239A" w:rsidRPr="00BD78A2" w:rsidRDefault="009C0A6D" w:rsidP="00BD78A2">
      <w:pPr>
        <w:ind w:left="708"/>
      </w:pPr>
      <w:r w:rsidRPr="006002C6">
        <w:rPr>
          <w:b/>
        </w:rPr>
        <w:t>Diretor:</w:t>
      </w:r>
      <w:r w:rsidRPr="00BD78A2">
        <w:t xml:space="preserve"> Aline Viana Magalhães</w:t>
      </w:r>
    </w:p>
    <w:p w14:paraId="38896106" w14:textId="24D5AA22" w:rsidR="0079239A" w:rsidRPr="00BD78A2" w:rsidRDefault="009C0A6D" w:rsidP="00BD78A2">
      <w:pPr>
        <w:ind w:left="708"/>
      </w:pPr>
      <w:r w:rsidRPr="006002C6">
        <w:rPr>
          <w:b/>
        </w:rPr>
        <w:t>E</w:t>
      </w:r>
      <w:r w:rsidR="0079239A" w:rsidRPr="006002C6">
        <w:rPr>
          <w:b/>
        </w:rPr>
        <w:t>-mail</w:t>
      </w:r>
      <w:r w:rsidR="0079239A" w:rsidRPr="00BD78A2">
        <w:t>:</w:t>
      </w:r>
      <w:r w:rsidRPr="00BD78A2">
        <w:t xml:space="preserve"> </w:t>
      </w:r>
      <w:hyperlink r:id="rId22" w:history="1">
        <w:r w:rsidRPr="00BD78A2">
          <w:rPr>
            <w:rStyle w:val="Hyperlink"/>
          </w:rPr>
          <w:t>desis.secretaria@tjrj.jus.br</w:t>
        </w:r>
      </w:hyperlink>
    </w:p>
    <w:p w14:paraId="33EC90D3" w14:textId="77777777" w:rsidR="000F12B1" w:rsidRPr="009C0A6D" w:rsidRDefault="000F12B1" w:rsidP="009C0A6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14:paraId="1ADEB25A" w14:textId="435068AD" w:rsidR="00D42786" w:rsidRPr="001F5B10" w:rsidRDefault="00550F0E" w:rsidP="00DC5FC0">
      <w:pPr>
        <w:pStyle w:val="Ttulo2"/>
      </w:pPr>
      <w:bookmarkStart w:id="56" w:name="_Toc166579484"/>
      <w:r>
        <w:t>3</w:t>
      </w:r>
      <w:r w:rsidRPr="004779B9">
        <w:t>.</w:t>
      </w:r>
      <w:r>
        <w:t>4 -</w:t>
      </w:r>
      <w:r w:rsidRPr="004779B9">
        <w:t xml:space="preserve"> </w:t>
      </w:r>
      <w:r w:rsidR="009C0A6D" w:rsidRPr="009C0A6D">
        <w:t>Departamento de Gestão de TIC (DEGET)</w:t>
      </w:r>
      <w:bookmarkEnd w:id="56"/>
    </w:p>
    <w:p w14:paraId="68D15079" w14:textId="77777777" w:rsidR="009C0A6D" w:rsidRDefault="009C0A6D" w:rsidP="000E615C">
      <w:r>
        <w:t>Cabe ao Departamento de Gestão de TIC prover e supervisionar toda gestão de TIC promovendo ações visando o alinhando da Governança de TIC com a Governança Institucional.</w:t>
      </w:r>
    </w:p>
    <w:p w14:paraId="41091816" w14:textId="77777777" w:rsidR="009C0A6D" w:rsidRDefault="009C0A6D" w:rsidP="000E615C">
      <w:r>
        <w:t>O Departamento de Gestão de TIC compreende as seguintes Unidades:</w:t>
      </w:r>
    </w:p>
    <w:p w14:paraId="14EDCD93" w14:textId="77777777" w:rsidR="009C0A6D" w:rsidRDefault="009C0A6D" w:rsidP="000E615C">
      <w:r>
        <w:t>I - Divisão de Planejamento Estratégico e Gestão Orçamentária;</w:t>
      </w:r>
    </w:p>
    <w:p w14:paraId="01F4421E" w14:textId="77777777" w:rsidR="009C0A6D" w:rsidRDefault="009C0A6D" w:rsidP="000E615C">
      <w:r>
        <w:t>II - Divisão de Gestão de Aquisições e Contratos de TIC;</w:t>
      </w:r>
    </w:p>
    <w:p w14:paraId="129937D7" w14:textId="77777777" w:rsidR="009C0A6D" w:rsidRDefault="009C0A6D" w:rsidP="000E615C">
      <w:r>
        <w:t>III - Divisão de Escritório de Projetos.</w:t>
      </w:r>
    </w:p>
    <w:p w14:paraId="1AFFFCC4" w14:textId="77777777" w:rsidR="009C0A6D" w:rsidRDefault="009C0A6D" w:rsidP="000E615C">
      <w:r>
        <w:t>São unidades da Divisão de Planejamento Estratégico e Gestão Orçamentária:</w:t>
      </w:r>
    </w:p>
    <w:p w14:paraId="6990A485" w14:textId="77777777" w:rsidR="009C0A6D" w:rsidRDefault="009C0A6D" w:rsidP="000E615C">
      <w:r>
        <w:t>I - Serviço de Controle do Planejamento Estratégico;</w:t>
      </w:r>
    </w:p>
    <w:p w14:paraId="6D0480CB" w14:textId="77777777" w:rsidR="009C0A6D" w:rsidRDefault="009C0A6D" w:rsidP="000E615C">
      <w:r>
        <w:lastRenderedPageBreak/>
        <w:t>II - Serviço de Controle de Gestão da Qualidade e Pessoas de TIC;</w:t>
      </w:r>
    </w:p>
    <w:p w14:paraId="60CDDCF6" w14:textId="77777777" w:rsidR="009C0A6D" w:rsidRDefault="009C0A6D" w:rsidP="000E615C">
      <w:r>
        <w:t>III - Serviço de Controle e Acompanhamento Orçamentário e de Despesas de TIC.</w:t>
      </w:r>
    </w:p>
    <w:p w14:paraId="54A2B4E3" w14:textId="77777777" w:rsidR="009C0A6D" w:rsidRDefault="009C0A6D" w:rsidP="000E615C">
      <w:r>
        <w:t>São unidades da Divisão de Gestão de Aquisições e Contratos de TIC:</w:t>
      </w:r>
    </w:p>
    <w:p w14:paraId="01025B69" w14:textId="77777777" w:rsidR="009C0A6D" w:rsidRDefault="009C0A6D" w:rsidP="000E615C">
      <w:r>
        <w:t>I - Serviço de Planejamento da Contratação;</w:t>
      </w:r>
    </w:p>
    <w:p w14:paraId="527970AF" w14:textId="77777777" w:rsidR="009C0A6D" w:rsidRDefault="009C0A6D" w:rsidP="000E615C">
      <w:r>
        <w:t>II - Serviço de Fiscalização e Acompanhamento de Contratos.</w:t>
      </w:r>
    </w:p>
    <w:p w14:paraId="17E4C37E" w14:textId="77777777" w:rsidR="009C0A6D" w:rsidRDefault="009C0A6D" w:rsidP="000E615C">
      <w:r>
        <w:t>É unidade da Divisão de Escritório de Projetos:</w:t>
      </w:r>
    </w:p>
    <w:p w14:paraId="3E2C7684" w14:textId="77777777" w:rsidR="009C0A6D" w:rsidRDefault="009C0A6D" w:rsidP="000E615C">
      <w:r>
        <w:t>I - Serviço de Acompanhamento e Execução de Projetos e Demandas de TIC.</w:t>
      </w:r>
    </w:p>
    <w:p w14:paraId="12E76733" w14:textId="7E181997" w:rsidR="009C0A6D" w:rsidRPr="00E00904" w:rsidRDefault="009C0A6D" w:rsidP="00E00904">
      <w:pPr>
        <w:ind w:left="708"/>
        <w:rPr>
          <w:bCs/>
        </w:rPr>
      </w:pPr>
      <w:r w:rsidRPr="009C0A6D">
        <w:rPr>
          <w:b/>
          <w:bCs/>
        </w:rPr>
        <w:t xml:space="preserve">Diretor: </w:t>
      </w:r>
      <w:r w:rsidRPr="00E00904">
        <w:rPr>
          <w:bCs/>
        </w:rPr>
        <w:t>André Amaral Gurgel</w:t>
      </w:r>
    </w:p>
    <w:p w14:paraId="49325941" w14:textId="639E1305" w:rsidR="009C0A6D" w:rsidRDefault="009C0A6D" w:rsidP="00E00904">
      <w:pPr>
        <w:ind w:left="708"/>
      </w:pPr>
      <w:r w:rsidRPr="009C0A6D">
        <w:rPr>
          <w:b/>
          <w:bCs/>
        </w:rPr>
        <w:t>E-mail</w:t>
      </w:r>
      <w:r w:rsidRPr="009C0A6D">
        <w:t xml:space="preserve">: </w:t>
      </w:r>
      <w:hyperlink r:id="rId23" w:history="1">
        <w:r w:rsidRPr="009C0A6D">
          <w:t>agbarros@tjrj.jus.br</w:t>
        </w:r>
      </w:hyperlink>
      <w:r w:rsidR="00C7296D">
        <w:t xml:space="preserve"> </w:t>
      </w:r>
      <w:bookmarkStart w:id="57" w:name="_GoBack"/>
      <w:bookmarkEnd w:id="57"/>
    </w:p>
    <w:p w14:paraId="0E2FB69F" w14:textId="577DA10A" w:rsidR="009C0A6D" w:rsidRDefault="009C0A6D" w:rsidP="009C0A6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14:paraId="27017FAA" w14:textId="3F260B89" w:rsidR="009C0A6D" w:rsidRPr="001F5B10" w:rsidRDefault="009C0A6D" w:rsidP="00DC5FC0">
      <w:pPr>
        <w:pStyle w:val="Ttulo2"/>
      </w:pPr>
      <w:bookmarkStart w:id="58" w:name="_Toc166579485"/>
      <w:r>
        <w:t>3</w:t>
      </w:r>
      <w:r w:rsidRPr="004779B9">
        <w:t>.</w:t>
      </w:r>
      <w:r w:rsidR="000F12B1">
        <w:t>5</w:t>
      </w:r>
      <w:r>
        <w:t xml:space="preserve"> -</w:t>
      </w:r>
      <w:r w:rsidRPr="004779B9">
        <w:t xml:space="preserve"> </w:t>
      </w:r>
      <w:r w:rsidRPr="009C0A6D">
        <w:t>Departamento de Processo Judicial Eletrônico - PJE (DEPJE)</w:t>
      </w:r>
      <w:bookmarkEnd w:id="58"/>
    </w:p>
    <w:p w14:paraId="590A270E" w14:textId="1B27BBE4" w:rsidR="009C0A6D" w:rsidRDefault="009C0A6D" w:rsidP="000E615C">
      <w:r>
        <w:t xml:space="preserve">Cabe ao </w:t>
      </w:r>
      <w:r>
        <w:rPr>
          <w:rStyle w:val="Forte"/>
          <w:rFonts w:ascii="Arial" w:hAnsi="Arial" w:cs="Arial"/>
          <w:color w:val="333333"/>
        </w:rPr>
        <w:t xml:space="preserve">Departamento de Processo Judicial Eletrônico – </w:t>
      </w:r>
      <w:proofErr w:type="spellStart"/>
      <w:r>
        <w:rPr>
          <w:rStyle w:val="Forte"/>
          <w:rFonts w:ascii="Arial" w:hAnsi="Arial" w:cs="Arial"/>
          <w:color w:val="333333"/>
        </w:rPr>
        <w:t>PJe</w:t>
      </w:r>
      <w:proofErr w:type="spellEnd"/>
      <w:r>
        <w:t>:</w:t>
      </w:r>
    </w:p>
    <w:p w14:paraId="75893CCB" w14:textId="77777777" w:rsidR="009C0A6D" w:rsidRDefault="009C0A6D" w:rsidP="000E615C">
      <w:r>
        <w:t>a) buscar soluções de TIC inovadoras, que contribuam para a melhoria da qualidade e agilidade da prestação jurisdicional;</w:t>
      </w:r>
    </w:p>
    <w:p w14:paraId="2CEE297D" w14:textId="77777777" w:rsidR="009C0A6D" w:rsidRDefault="009C0A6D" w:rsidP="000E615C">
      <w:r>
        <w:t xml:space="preserve">b) desenvolver e testar os fluxos, funcionalidades, módulos e melhorias das versões do sistema </w:t>
      </w:r>
      <w:proofErr w:type="spellStart"/>
      <w:r>
        <w:t>PJe</w:t>
      </w:r>
      <w:proofErr w:type="spellEnd"/>
      <w:r>
        <w:t>, antes, durante e após sua implantação;</w:t>
      </w:r>
    </w:p>
    <w:p w14:paraId="47BA700F" w14:textId="77777777" w:rsidR="009C0A6D" w:rsidRDefault="009C0A6D" w:rsidP="000E615C">
      <w:r>
        <w:t>c) desenvolver, testar e implementar novas soluções de sistemas que agilizem os processos de trabalho do Tribunal de Justiça;</w:t>
      </w:r>
    </w:p>
    <w:p w14:paraId="5669CC82" w14:textId="77777777" w:rsidR="009C0A6D" w:rsidRDefault="009C0A6D" w:rsidP="000E615C">
      <w:r>
        <w:t xml:space="preserve">d) estabelecer e impulsionar canal permanente de diálogo e avaliação do sistema </w:t>
      </w:r>
      <w:proofErr w:type="spellStart"/>
      <w:r>
        <w:t>PJe</w:t>
      </w:r>
      <w:proofErr w:type="spellEnd"/>
      <w:r>
        <w:t>, tanto por seus usuários institucionais quanto pelos clientes externos ao Tribunal de Justiça, como meio de constante aprimoramento de todos os aspectos ligados ao produto, sua qualidade, disponibilidade, e possíveis melhorias;</w:t>
      </w:r>
    </w:p>
    <w:p w14:paraId="33D787FF" w14:textId="77777777" w:rsidR="009C0A6D" w:rsidRDefault="009C0A6D" w:rsidP="000E615C">
      <w:r>
        <w:t xml:space="preserve">e) atuar em parceria com os setores técnicos do Conselho Nacional de Justiça e com os órgãos do Sistema de Justiça do Estado do Rio de Janeiro no estudo, planejamento, construção, evolução, testes, implantação e avaliação do sistema </w:t>
      </w:r>
      <w:proofErr w:type="spellStart"/>
      <w:r>
        <w:t>PJe</w:t>
      </w:r>
      <w:proofErr w:type="spellEnd"/>
      <w:r>
        <w:t>, bem como suas atualizações de versão, componentes, módulos e serviços;</w:t>
      </w:r>
    </w:p>
    <w:p w14:paraId="6E890345" w14:textId="77777777" w:rsidR="009C0A6D" w:rsidRDefault="009C0A6D" w:rsidP="000E615C">
      <w:r>
        <w:t>f) atuar em parceria com os setores técnicos do Conselho Nacional de Justiça e com os órgãos do Sistema de Justiça do Estado do Rio de Janeiro no monitoramento, manutenção, testes, evolução, implantação e avaliação de serviços de troca de dados baseados no Modelo Nacional de Interoperabilidade (MNI), bem como suas atualizações de versão e de métodos;</w:t>
      </w:r>
    </w:p>
    <w:p w14:paraId="194F72C4" w14:textId="77777777" w:rsidR="009C0A6D" w:rsidRDefault="009C0A6D" w:rsidP="000E615C">
      <w:r>
        <w:t xml:space="preserve">g) atuar em parceria com os órgãos do Sistema de Justiça do Estado do Rio de Janeiro no desenvolvimento, testes, implantação, manutenção, evolução e avaliação de serviços de troca de dados complementares ou suplementares àqueles já existentes para envio e recebimento de informações do sistema </w:t>
      </w:r>
      <w:proofErr w:type="spellStart"/>
      <w:r>
        <w:t>PJe</w:t>
      </w:r>
      <w:proofErr w:type="spellEnd"/>
      <w:r>
        <w:t>;</w:t>
      </w:r>
    </w:p>
    <w:p w14:paraId="17F2970E" w14:textId="77777777" w:rsidR="009C0A6D" w:rsidRDefault="009C0A6D" w:rsidP="000E615C">
      <w:r>
        <w:t xml:space="preserve">h) propor à </w:t>
      </w:r>
      <w:proofErr w:type="spellStart"/>
      <w:r>
        <w:t>Secretaria-Geral</w:t>
      </w:r>
      <w:proofErr w:type="spellEnd"/>
      <w:r>
        <w:t xml:space="preserve"> de Tecnologia da Informação metodologia com critérios objetivos e uniformes que fundamentem a expedição de certidões de indisponibilidade do sistema </w:t>
      </w:r>
      <w:proofErr w:type="spellStart"/>
      <w:r>
        <w:t>PJe</w:t>
      </w:r>
      <w:proofErr w:type="spellEnd"/>
      <w:r>
        <w:t xml:space="preserve">, bem como dos serviços de troca de dados do sistema </w:t>
      </w:r>
      <w:proofErr w:type="spellStart"/>
      <w:r>
        <w:t>PJe</w:t>
      </w:r>
      <w:proofErr w:type="spellEnd"/>
      <w:r>
        <w:t xml:space="preserve"> com terceiros, sejam eles baseados no Modelo Nacional de Interoperabilidade (MNI) ou complementares, para fins de garantia dos interesses de partes processuais afetadas por eventuais intercorrências;</w:t>
      </w:r>
    </w:p>
    <w:p w14:paraId="5099C35C" w14:textId="77777777" w:rsidR="009C0A6D" w:rsidRPr="00901232" w:rsidRDefault="009C0A6D" w:rsidP="00901232">
      <w:r w:rsidRPr="00901232">
        <w:lastRenderedPageBreak/>
        <w:t xml:space="preserve">i) garantir a colaboração do setor com os demais Departamentos da </w:t>
      </w:r>
      <w:proofErr w:type="spellStart"/>
      <w:r w:rsidRPr="00901232">
        <w:t>Secretaria-Geral</w:t>
      </w:r>
      <w:proofErr w:type="spellEnd"/>
      <w:r w:rsidRPr="00901232">
        <w:t xml:space="preserve"> de Tecnologia da Informação, especialmente aqueles com atribuições e responsabilidades semelhantes para outras soluções de tecnologia e, também, com órgãos externos, para garantir o pleno funcionamento do sistema </w:t>
      </w:r>
      <w:proofErr w:type="spellStart"/>
      <w:r w:rsidRPr="00901232">
        <w:t>PJe</w:t>
      </w:r>
      <w:proofErr w:type="spellEnd"/>
      <w:r w:rsidRPr="00901232">
        <w:t>.</w:t>
      </w:r>
    </w:p>
    <w:p w14:paraId="35E88101" w14:textId="7B6EA85F" w:rsidR="009C0A6D" w:rsidRPr="00901232" w:rsidRDefault="009C0A6D" w:rsidP="00901232">
      <w:r w:rsidRPr="00901232">
        <w:rPr>
          <w:b/>
        </w:rPr>
        <w:t xml:space="preserve">O Departamento de Processo Judicial Eletrônico – </w:t>
      </w:r>
      <w:proofErr w:type="spellStart"/>
      <w:r w:rsidRPr="00901232">
        <w:rPr>
          <w:b/>
        </w:rPr>
        <w:t>Pje</w:t>
      </w:r>
      <w:proofErr w:type="spellEnd"/>
      <w:r w:rsidRPr="00901232">
        <w:t xml:space="preserve"> compreende as seguintes Unidades:</w:t>
      </w:r>
    </w:p>
    <w:p w14:paraId="33A9E260" w14:textId="77777777" w:rsidR="009C0A6D" w:rsidRPr="00901232" w:rsidRDefault="009C0A6D" w:rsidP="00901232">
      <w:r w:rsidRPr="00901232">
        <w:t xml:space="preserve">I - Divisão de Arquitetura do </w:t>
      </w:r>
      <w:proofErr w:type="spellStart"/>
      <w:r w:rsidRPr="00901232">
        <w:t>PJe</w:t>
      </w:r>
      <w:proofErr w:type="spellEnd"/>
      <w:r w:rsidRPr="00901232">
        <w:t>;</w:t>
      </w:r>
    </w:p>
    <w:p w14:paraId="175E3CA4" w14:textId="77777777" w:rsidR="009C0A6D" w:rsidRPr="00901232" w:rsidRDefault="009C0A6D" w:rsidP="00901232">
      <w:r w:rsidRPr="00901232">
        <w:t xml:space="preserve">II - Divisão de Sustentação e Operação do </w:t>
      </w:r>
      <w:proofErr w:type="spellStart"/>
      <w:r w:rsidRPr="00901232">
        <w:t>PJe</w:t>
      </w:r>
      <w:proofErr w:type="spellEnd"/>
      <w:r w:rsidRPr="00901232">
        <w:t>;</w:t>
      </w:r>
    </w:p>
    <w:p w14:paraId="15492929" w14:textId="77777777" w:rsidR="009C0A6D" w:rsidRPr="00901232" w:rsidRDefault="009C0A6D" w:rsidP="00901232">
      <w:r w:rsidRPr="00901232">
        <w:t xml:space="preserve">III - Divisão de Apoio ao Usuário do </w:t>
      </w:r>
      <w:proofErr w:type="spellStart"/>
      <w:r w:rsidRPr="00901232">
        <w:t>PJe</w:t>
      </w:r>
      <w:proofErr w:type="spellEnd"/>
      <w:r w:rsidRPr="00901232">
        <w:t>.</w:t>
      </w:r>
    </w:p>
    <w:p w14:paraId="32BCCB9C" w14:textId="2C9161A0" w:rsidR="009C0A6D" w:rsidRPr="00901232" w:rsidRDefault="009C0A6D" w:rsidP="00901232">
      <w:r w:rsidRPr="00901232">
        <w:t>É unidade da</w:t>
      </w:r>
      <w:r w:rsidR="006002C6">
        <w:t xml:space="preserve"> </w:t>
      </w:r>
      <w:r w:rsidRPr="006002C6">
        <w:rPr>
          <w:b/>
        </w:rPr>
        <w:t xml:space="preserve">Divisão de Arquitetura do </w:t>
      </w:r>
      <w:proofErr w:type="spellStart"/>
      <w:r w:rsidRPr="006002C6">
        <w:rPr>
          <w:b/>
        </w:rPr>
        <w:t>PJe</w:t>
      </w:r>
      <w:proofErr w:type="spellEnd"/>
      <w:r w:rsidRPr="00901232">
        <w:t>:</w:t>
      </w:r>
    </w:p>
    <w:p w14:paraId="0FDBDE9D" w14:textId="77777777" w:rsidR="009C0A6D" w:rsidRPr="00901232" w:rsidRDefault="009C0A6D" w:rsidP="00901232">
      <w:r w:rsidRPr="00901232">
        <w:t xml:space="preserve">I - Serviço de Desenvolvimento do </w:t>
      </w:r>
      <w:proofErr w:type="spellStart"/>
      <w:r w:rsidRPr="00901232">
        <w:t>PJe</w:t>
      </w:r>
      <w:proofErr w:type="spellEnd"/>
      <w:r w:rsidRPr="00901232">
        <w:t>.</w:t>
      </w:r>
    </w:p>
    <w:p w14:paraId="00F7F6B2" w14:textId="70B42B42" w:rsidR="009C0A6D" w:rsidRPr="00901232" w:rsidRDefault="009C0A6D" w:rsidP="00901232">
      <w:r w:rsidRPr="00901232">
        <w:t xml:space="preserve">É unidade da </w:t>
      </w:r>
      <w:r w:rsidRPr="006002C6">
        <w:rPr>
          <w:b/>
        </w:rPr>
        <w:t xml:space="preserve">Divisão de Sustentação e Operação do </w:t>
      </w:r>
      <w:proofErr w:type="spellStart"/>
      <w:r w:rsidRPr="006002C6">
        <w:rPr>
          <w:b/>
        </w:rPr>
        <w:t>PJe</w:t>
      </w:r>
      <w:proofErr w:type="spellEnd"/>
      <w:r w:rsidRPr="00901232">
        <w:t>:</w:t>
      </w:r>
    </w:p>
    <w:p w14:paraId="43BFACFB" w14:textId="77777777" w:rsidR="009C0A6D" w:rsidRPr="00901232" w:rsidRDefault="009C0A6D" w:rsidP="00901232">
      <w:r w:rsidRPr="00901232">
        <w:t xml:space="preserve">I - Serviço de Infraestrutura de Banco de Dados e Servidores do </w:t>
      </w:r>
      <w:proofErr w:type="spellStart"/>
      <w:r w:rsidRPr="00901232">
        <w:t>PJe</w:t>
      </w:r>
      <w:proofErr w:type="spellEnd"/>
      <w:r w:rsidRPr="00901232">
        <w:t>.</w:t>
      </w:r>
    </w:p>
    <w:p w14:paraId="2B5BFA5E" w14:textId="6EECE7F8" w:rsidR="009C0A6D" w:rsidRPr="00901232" w:rsidRDefault="009C0A6D" w:rsidP="00901232">
      <w:r w:rsidRPr="00901232">
        <w:t xml:space="preserve">É unidade da </w:t>
      </w:r>
      <w:r w:rsidRPr="006002C6">
        <w:rPr>
          <w:b/>
        </w:rPr>
        <w:t xml:space="preserve">Divisão de Apoio ao Usuário do </w:t>
      </w:r>
      <w:proofErr w:type="spellStart"/>
      <w:r w:rsidRPr="006002C6">
        <w:rPr>
          <w:b/>
        </w:rPr>
        <w:t>PJe</w:t>
      </w:r>
      <w:proofErr w:type="spellEnd"/>
      <w:r w:rsidRPr="00901232">
        <w:t>:</w:t>
      </w:r>
    </w:p>
    <w:p w14:paraId="51390A62" w14:textId="77777777" w:rsidR="009C0A6D" w:rsidRPr="00901232" w:rsidRDefault="009C0A6D" w:rsidP="00901232">
      <w:r w:rsidRPr="00901232">
        <w:t xml:space="preserve">I - Serviço de Suporte ao </w:t>
      </w:r>
      <w:proofErr w:type="spellStart"/>
      <w:r w:rsidRPr="00901232">
        <w:t>PJe</w:t>
      </w:r>
      <w:proofErr w:type="spellEnd"/>
      <w:r w:rsidRPr="00901232">
        <w:t>.</w:t>
      </w:r>
    </w:p>
    <w:p w14:paraId="3837E953" w14:textId="77777777" w:rsidR="009C0A6D" w:rsidRPr="00901232" w:rsidRDefault="009C0A6D" w:rsidP="00901232">
      <w:r w:rsidRPr="00901232">
        <w:t>Diretor: Rafael dos Santos Alves</w:t>
      </w:r>
    </w:p>
    <w:p w14:paraId="454EBAB7" w14:textId="610FD2CB" w:rsidR="009C0A6D" w:rsidRPr="00901232" w:rsidRDefault="009C0A6D" w:rsidP="00901232">
      <w:r w:rsidRPr="00901232">
        <w:t xml:space="preserve">E-mail: </w:t>
      </w:r>
      <w:hyperlink r:id="rId24" w:history="1">
        <w:r w:rsidRPr="00901232">
          <w:rPr>
            <w:rStyle w:val="Hyperlink"/>
          </w:rPr>
          <w:t>rafaelalves@tjrj.jus.br</w:t>
        </w:r>
      </w:hyperlink>
    </w:p>
    <w:p w14:paraId="322CD8C9" w14:textId="4DCCE9CE" w:rsidR="006B0F6E" w:rsidRDefault="006B0F6E">
      <w:pP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 w:type="page"/>
      </w:r>
    </w:p>
    <w:p w14:paraId="0A7CC840" w14:textId="316637CE" w:rsidR="006765DB" w:rsidRPr="006765DB" w:rsidRDefault="00550F0E" w:rsidP="00DC5FC0">
      <w:pPr>
        <w:pStyle w:val="Ttulo1"/>
      </w:pPr>
      <w:bookmarkStart w:id="59" w:name="_Toc166579486"/>
      <w:r>
        <w:lastRenderedPageBreak/>
        <w:t>4</w:t>
      </w:r>
      <w:r w:rsidR="00DE20CB" w:rsidRPr="004779B9">
        <w:t xml:space="preserve">. </w:t>
      </w:r>
      <w:r w:rsidR="007D268F">
        <w:t xml:space="preserve">SISTEMA DE GESTÃO DA QUALIDADE DA </w:t>
      </w:r>
      <w:r w:rsidR="00D42786">
        <w:t>SG</w:t>
      </w:r>
      <w:r w:rsidR="00B92933">
        <w:t>TEC</w:t>
      </w:r>
      <w:bookmarkStart w:id="60" w:name="_Toc141093188"/>
      <w:bookmarkEnd w:id="59"/>
    </w:p>
    <w:p w14:paraId="130FA7AD" w14:textId="2E79D8B1" w:rsidR="006765DB" w:rsidRPr="006765DB" w:rsidRDefault="00550F0E" w:rsidP="00DC5FC0">
      <w:pPr>
        <w:pStyle w:val="Ttulo2"/>
      </w:pPr>
      <w:bookmarkStart w:id="61" w:name="_Toc141093189"/>
      <w:bookmarkStart w:id="62" w:name="_Toc166579487"/>
      <w:bookmarkEnd w:id="60"/>
      <w:r>
        <w:t>4</w:t>
      </w:r>
      <w:r w:rsidR="006765DB" w:rsidRPr="006765DB">
        <w:t>.</w:t>
      </w:r>
      <w:r w:rsidR="00B92933">
        <w:t>1</w:t>
      </w:r>
      <w:r>
        <w:t xml:space="preserve"> </w:t>
      </w:r>
      <w:r w:rsidR="00B92933">
        <w:t>–</w:t>
      </w:r>
      <w:r w:rsidR="006765DB" w:rsidRPr="006765DB">
        <w:t xml:space="preserve"> </w:t>
      </w:r>
      <w:r w:rsidR="00B92933">
        <w:t>Rotinas Administrativas (</w:t>
      </w:r>
      <w:proofErr w:type="spellStart"/>
      <w:r w:rsidR="00B92933">
        <w:t>RADs</w:t>
      </w:r>
      <w:proofErr w:type="spellEnd"/>
      <w:r w:rsidR="00B92933">
        <w:t>) Gerais</w:t>
      </w:r>
      <w:r w:rsidR="006765DB" w:rsidRPr="006765DB">
        <w:t>:</w:t>
      </w:r>
      <w:bookmarkEnd w:id="61"/>
      <w:bookmarkEnd w:id="62"/>
    </w:p>
    <w:p w14:paraId="39AC1362" w14:textId="5A873591" w:rsidR="007D268F" w:rsidRDefault="00B92933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mallCaps/>
          <w:color w:val="000000"/>
        </w:rPr>
      </w:pPr>
      <w:r w:rsidRPr="00B92933">
        <w:rPr>
          <w:rFonts w:ascii="Arial" w:hAnsi="Arial" w:cs="Arial"/>
          <w:b/>
          <w:bCs/>
          <w:smallCaps/>
          <w:color w:val="000000"/>
          <w:sz w:val="20"/>
          <w:szCs w:val="20"/>
        </w:rPr>
        <w:t>RAD SGTEC-04</w:t>
      </w:r>
      <w:r w:rsidR="0098385D" w:rsidRPr="00DC5FC0">
        <w:rPr>
          <w:rFonts w:ascii="Arial" w:hAnsi="Arial" w:cs="Arial"/>
          <w:b/>
          <w:bCs/>
          <w:smallCaps/>
          <w:color w:val="000000"/>
          <w:sz w:val="20"/>
          <w:szCs w:val="20"/>
        </w:rPr>
        <w:t>1</w:t>
      </w:r>
      <w:r w:rsidRPr="0098385D">
        <w:rPr>
          <w:rFonts w:ascii="Arial" w:hAnsi="Arial" w:cs="Arial"/>
          <w:b/>
          <w:bCs/>
          <w:smallCaps/>
          <w:strike/>
          <w:color w:val="000000"/>
          <w:sz w:val="20"/>
          <w:szCs w:val="20"/>
        </w:rPr>
        <w:t>2</w:t>
      </w:r>
      <w:r w:rsidRPr="00B92933">
        <w:rPr>
          <w:rFonts w:ascii="Arial" w:hAnsi="Arial" w:cs="Arial"/>
          <w:b/>
          <w:bCs/>
          <w:smallCaps/>
          <w:color w:val="000000"/>
          <w:sz w:val="20"/>
          <w:szCs w:val="20"/>
        </w:rPr>
        <w:t xml:space="preserve"> - </w:t>
      </w:r>
      <w:r w:rsidRPr="00B92933">
        <w:rPr>
          <w:rFonts w:ascii="Arial" w:hAnsi="Arial" w:cs="Arial"/>
          <w:b/>
          <w:bCs/>
          <w:sz w:val="20"/>
          <w:szCs w:val="20"/>
        </w:rPr>
        <w:t>Ciclo de Contratação de Solução de Tecnologia da Informação e Comunicação</w:t>
      </w:r>
    </w:p>
    <w:p w14:paraId="226BBAE3" w14:textId="3A9B4562" w:rsidR="001D38B7" w:rsidRPr="00B92933" w:rsidRDefault="00B92933" w:rsidP="000E615C">
      <w:pPr>
        <w:rPr>
          <w:color w:val="212529"/>
          <w:shd w:val="clear" w:color="auto" w:fill="FFFFFF"/>
        </w:rPr>
      </w:pPr>
      <w:r w:rsidRPr="00B92933">
        <w:t>Padronizar os critérios do ciclo de execução de Solução de Tecnologia da Informação e Comunicação (STIC, nos termos da Resolução CNJ nº182, de 17/10/2013 e da Resolução TJ/OE Nº 28/2013, de 27/08/2013.</w:t>
      </w:r>
    </w:p>
    <w:p w14:paraId="7CFD6DC4" w14:textId="73878E9F" w:rsidR="007D268F" w:rsidRPr="00B92933" w:rsidRDefault="00B92933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B92933">
        <w:rPr>
          <w:rFonts w:ascii="Arial" w:hAnsi="Arial" w:cs="Arial"/>
          <w:b/>
          <w:bCs/>
          <w:sz w:val="20"/>
          <w:szCs w:val="20"/>
        </w:rPr>
        <w:t xml:space="preserve">RAD-SGTEC-042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B92933">
        <w:rPr>
          <w:rFonts w:ascii="Arial" w:hAnsi="Arial" w:cs="Arial"/>
          <w:b/>
          <w:bCs/>
          <w:sz w:val="20"/>
          <w:szCs w:val="20"/>
        </w:rPr>
        <w:t>Ciclo de Execução de Contratos de Solução de Tecnologia da Informação e Comunicação</w:t>
      </w:r>
    </w:p>
    <w:p w14:paraId="19ED485F" w14:textId="3FC03C28" w:rsidR="001D38B7" w:rsidRDefault="00B92933" w:rsidP="000E615C">
      <w:r w:rsidRPr="00B92933">
        <w:t>Padronizar os critérios do ciclo de execução de Solução de Tecnologia da Informação e Comunicação (STIC, nos termos da Resolução CNJ nº182, de 17/10/2013 e da Resolução TJ/OE Nº 28/2013, de 27/08/2013.</w:t>
      </w:r>
    </w:p>
    <w:p w14:paraId="4B94D4A9" w14:textId="736880AE" w:rsidR="00B92933" w:rsidRPr="006765DB" w:rsidRDefault="00B92933" w:rsidP="00DC5FC0">
      <w:pPr>
        <w:pStyle w:val="Ttulo2"/>
      </w:pPr>
      <w:bookmarkStart w:id="63" w:name="_Toc166579488"/>
      <w:r>
        <w:t>4</w:t>
      </w:r>
      <w:r w:rsidRPr="006765DB">
        <w:t>.</w:t>
      </w:r>
      <w:r>
        <w:t>2 –</w:t>
      </w:r>
      <w:r w:rsidRPr="006765DB">
        <w:t xml:space="preserve"> </w:t>
      </w:r>
      <w:r>
        <w:t>Rotinas Administrativas (</w:t>
      </w:r>
      <w:proofErr w:type="spellStart"/>
      <w:r>
        <w:t>RADs</w:t>
      </w:r>
      <w:proofErr w:type="spellEnd"/>
      <w:r>
        <w:t>) Operacionais</w:t>
      </w:r>
      <w:r w:rsidRPr="006765DB">
        <w:t>:</w:t>
      </w:r>
      <w:bookmarkEnd w:id="63"/>
    </w:p>
    <w:p w14:paraId="4970A559" w14:textId="14CA4F6C" w:rsidR="005B07B2" w:rsidRPr="005B07B2" w:rsidRDefault="005B07B2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5B07B2">
        <w:rPr>
          <w:rFonts w:ascii="Arial" w:hAnsi="Arial" w:cs="Arial"/>
          <w:b/>
          <w:bCs/>
          <w:sz w:val="20"/>
          <w:szCs w:val="20"/>
        </w:rPr>
        <w:t xml:space="preserve">RAD-DGTEC-003 - </w:t>
      </w:r>
      <w:hyperlink r:id="rId25" w:tgtFrame="_blank" w:tooltip="Documento que estabelece os procedimentos para atender ao usuário." w:history="1">
        <w:r w:rsidRPr="005B07B2">
          <w:rPr>
            <w:rFonts w:ascii="Arial" w:hAnsi="Arial" w:cs="Arial"/>
            <w:b/>
            <w:bCs/>
            <w:sz w:val="20"/>
            <w:szCs w:val="20"/>
          </w:rPr>
          <w:t>Atender ao Usuário</w:t>
        </w:r>
      </w:hyperlink>
    </w:p>
    <w:p w14:paraId="4412CE0A" w14:textId="2674A933" w:rsidR="00B92933" w:rsidRDefault="005B07B2" w:rsidP="000E615C">
      <w:r w:rsidRPr="005B07B2">
        <w:t>Estabelecer critérios e procedimentos relativos ao atendimento dos usuários do Poder Judiciário do Estado Rio de Janeiro (PJERJ) que utilizam os serviços administrados pela Diretoria-Geral de Tecnologia da Informação (DGTEC).</w:t>
      </w:r>
    </w:p>
    <w:p w14:paraId="09D4793A" w14:textId="12DBE2ED" w:rsidR="005B07B2" w:rsidRPr="005B07B2" w:rsidRDefault="005B07B2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5B07B2">
        <w:rPr>
          <w:rFonts w:ascii="Arial" w:hAnsi="Arial" w:cs="Arial"/>
          <w:b/>
          <w:bCs/>
          <w:sz w:val="20"/>
          <w:szCs w:val="20"/>
        </w:rPr>
        <w:t>RAD-SGTEC-011</w:t>
      </w:r>
      <w:r w:rsidR="00FD5127">
        <w:rPr>
          <w:rFonts w:ascii="Arial" w:hAnsi="Arial" w:cs="Arial"/>
          <w:b/>
          <w:bCs/>
          <w:sz w:val="20"/>
          <w:szCs w:val="20"/>
        </w:rPr>
        <w:t xml:space="preserve"> </w:t>
      </w:r>
      <w:r w:rsidR="008E569D">
        <w:rPr>
          <w:rFonts w:ascii="Arial" w:hAnsi="Arial" w:cs="Arial"/>
          <w:b/>
          <w:bCs/>
          <w:sz w:val="20"/>
          <w:szCs w:val="20"/>
        </w:rPr>
        <w:t>–</w:t>
      </w:r>
      <w:r w:rsidR="00FD5127">
        <w:rPr>
          <w:rFonts w:ascii="Arial" w:hAnsi="Arial" w:cs="Arial"/>
          <w:b/>
          <w:bCs/>
          <w:sz w:val="20"/>
          <w:szCs w:val="20"/>
        </w:rPr>
        <w:t xml:space="preserve"> </w:t>
      </w:r>
      <w:r w:rsidR="008E569D">
        <w:rPr>
          <w:rFonts w:ascii="Arial" w:hAnsi="Arial" w:cs="Arial"/>
          <w:b/>
          <w:bCs/>
          <w:sz w:val="20"/>
          <w:szCs w:val="20"/>
        </w:rPr>
        <w:t>Atender Incidentes</w:t>
      </w:r>
    </w:p>
    <w:p w14:paraId="6864524D" w14:textId="357F3F7D" w:rsidR="005B07B2" w:rsidRDefault="005B07B2" w:rsidP="000E615C">
      <w:r w:rsidRPr="005B07B2">
        <w:t xml:space="preserve">Esta Rotina Administrativa (RAD) se aplica ao Departamento de Soluções, da </w:t>
      </w:r>
      <w:proofErr w:type="spellStart"/>
      <w:r w:rsidRPr="005B07B2">
        <w:t>Secretaria-Geral</w:t>
      </w:r>
      <w:proofErr w:type="spellEnd"/>
      <w:r w:rsidRPr="005B07B2">
        <w:t xml:space="preserve"> de Tecnologia da Informação (SGTEC/DESOL) e tem o objetivo de orientar sobre o fluxo de atendimento de incidentes no Poder Judiciário do Estado do Rio de Janeiro (PJERJ), passando a vigorar em 20/10/2023.</w:t>
      </w:r>
    </w:p>
    <w:p w14:paraId="7B62BBF8" w14:textId="31E54507" w:rsidR="005B07B2" w:rsidRPr="008E569D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E569D">
        <w:rPr>
          <w:rFonts w:ascii="Arial" w:hAnsi="Arial" w:cs="Arial"/>
          <w:b/>
          <w:bCs/>
          <w:sz w:val="20"/>
          <w:szCs w:val="20"/>
        </w:rPr>
        <w:t>RAD-SGTEC-012 - Atender Requisição de Apuração Especi</w:t>
      </w:r>
      <w:r>
        <w:rPr>
          <w:rFonts w:ascii="Arial" w:hAnsi="Arial" w:cs="Arial"/>
          <w:b/>
          <w:bCs/>
          <w:sz w:val="20"/>
          <w:szCs w:val="20"/>
        </w:rPr>
        <w:t>al</w:t>
      </w:r>
    </w:p>
    <w:p w14:paraId="4B2FCF3A" w14:textId="0C677DAE" w:rsidR="005B07B2" w:rsidRDefault="008E569D" w:rsidP="000E615C">
      <w:r w:rsidRPr="008E569D">
        <w:t xml:space="preserve">Esta Rotina Administrativa (RAD) se aplica ao Departamento de Soluções, da </w:t>
      </w:r>
      <w:proofErr w:type="spellStart"/>
      <w:r w:rsidRPr="008E569D">
        <w:t>Secretaria-Geral</w:t>
      </w:r>
      <w:proofErr w:type="spellEnd"/>
      <w:r w:rsidRPr="008E569D">
        <w:t xml:space="preserve"> de Tecnologia da Informação e Comunicação de Dados (SGTEC/DESOL) e tem o objetivo de orientar sobre o fluxo de atendimento de requisições de apuração especial no Poder Judiciário do Estado do Rio de Janeiro (PJERJ), passando a vigorar em 20/10/2023.</w:t>
      </w:r>
    </w:p>
    <w:p w14:paraId="4D9DA108" w14:textId="77777777" w:rsidR="008E569D" w:rsidRPr="008E569D" w:rsidRDefault="008E569D" w:rsidP="008E569D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E569D">
        <w:rPr>
          <w:rFonts w:ascii="Arial" w:hAnsi="Arial" w:cs="Arial"/>
          <w:b/>
          <w:bCs/>
          <w:sz w:val="20"/>
          <w:szCs w:val="20"/>
        </w:rPr>
        <w:t>RAD-DGTEC-016 – Gerenciar Atendimento a Equipamentos de TI</w:t>
      </w:r>
    </w:p>
    <w:p w14:paraId="19DD6A2E" w14:textId="74E2D399" w:rsidR="00B92933" w:rsidRDefault="008E569D" w:rsidP="000E615C">
      <w:r w:rsidRPr="008E569D">
        <w:t>Estabelecer critérios de atendimento a equipamentos de informática do Tribunal de Justiça do Estado do Rio de Janeiro (TJERJ) que se encontram dentro ou fora de seu período de garantia.</w:t>
      </w:r>
    </w:p>
    <w:p w14:paraId="0E310955" w14:textId="64AC4295" w:rsidR="005B07B2" w:rsidRPr="008E569D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E569D">
        <w:rPr>
          <w:rFonts w:ascii="Arial" w:hAnsi="Arial" w:cs="Arial"/>
          <w:b/>
          <w:bCs/>
          <w:sz w:val="20"/>
          <w:szCs w:val="20"/>
        </w:rPr>
        <w:t xml:space="preserve">RAD-DGTEC-017 - </w:t>
      </w:r>
      <w:hyperlink r:id="rId26" w:tgtFrame="_blank" w:tooltip="Documento que estabelece procedimentos para gerenciar garantia e fiscalizar movimentação de bens de TI" w:history="1">
        <w:r w:rsidRPr="008E569D">
          <w:rPr>
            <w:rFonts w:ascii="Arial" w:hAnsi="Arial" w:cs="Arial"/>
            <w:b/>
            <w:bCs/>
            <w:sz w:val="20"/>
            <w:szCs w:val="20"/>
          </w:rPr>
          <w:t>Gerenciar Garantia e Fiscalizar Movimentação de Bens de TI</w:t>
        </w:r>
      </w:hyperlink>
    </w:p>
    <w:p w14:paraId="0A3FCA57" w14:textId="59EB8AA8" w:rsidR="005B07B2" w:rsidRDefault="008E569D" w:rsidP="000E615C">
      <w:r w:rsidRPr="008E569D">
        <w:t>Estabelecer critérios e procedimentos para recebimento e controle de garantia em equipamentos de informática, bem como fiscalizar a movimentação de bens de TI instalados em todas as unidades do Poder Judiciário do Estado do Rio de Janeiro (PJERJ).</w:t>
      </w:r>
    </w:p>
    <w:p w14:paraId="4C421185" w14:textId="42ADCD59" w:rsidR="005B07B2" w:rsidRPr="008E569D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E569D">
        <w:rPr>
          <w:rFonts w:ascii="Arial" w:hAnsi="Arial" w:cs="Arial"/>
          <w:b/>
          <w:bCs/>
          <w:sz w:val="20"/>
          <w:szCs w:val="20"/>
        </w:rPr>
        <w:t xml:space="preserve">RAD-DGTEC-018 - </w:t>
      </w:r>
      <w:hyperlink r:id="rId27" w:tgtFrame="_blank" w:tooltip="Visualizar o arquivo com título Prestar Manutenção e Suporte a Hardware e revisão 11" w:history="1">
        <w:r w:rsidRPr="008E569D">
          <w:rPr>
            <w:rFonts w:ascii="Arial" w:hAnsi="Arial" w:cs="Arial"/>
            <w:b/>
            <w:bCs/>
            <w:sz w:val="20"/>
            <w:szCs w:val="20"/>
          </w:rPr>
          <w:t>Prestar Manutenção e Suporte a Hardware</w:t>
        </w:r>
      </w:hyperlink>
    </w:p>
    <w:p w14:paraId="1DA6F1B6" w14:textId="05229315" w:rsidR="005B07B2" w:rsidRDefault="008E569D" w:rsidP="000E615C">
      <w:proofErr w:type="spellStart"/>
      <w:r w:rsidRPr="008E569D">
        <w:t>Manutenir</w:t>
      </w:r>
      <w:proofErr w:type="spellEnd"/>
      <w:r w:rsidRPr="008E569D">
        <w:t xml:space="preserve"> os equipamentos de informática do Tribunal de Justiça do Estado do Rio de Janeiro (TJERJ) que não pertencem a contrato de garantia.</w:t>
      </w:r>
    </w:p>
    <w:p w14:paraId="28939727" w14:textId="1F858763" w:rsidR="005B07B2" w:rsidRPr="004F2A57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RAD-DGTEC-021 - </w:t>
      </w:r>
      <w:hyperlink r:id="rId28" w:tgtFrame="_blank" w:tooltip="Documento que estabelece procedimentos para elaborar e manter rotinas de armazenamento de segurança dos bancos de dados e servidores de aplicação" w:history="1">
        <w:r w:rsidRPr="004F2A57">
          <w:rPr>
            <w:rFonts w:ascii="Arial" w:hAnsi="Arial" w:cs="Arial"/>
            <w:b/>
            <w:bCs/>
            <w:sz w:val="20"/>
            <w:szCs w:val="20"/>
          </w:rPr>
          <w:t>Elaborar e Manter Rotinas de Armazenamento de Segurança dos Bancos de Dados e Servidores de Aplicação</w:t>
        </w:r>
      </w:hyperlink>
    </w:p>
    <w:p w14:paraId="411A8A4F" w14:textId="51EF107A" w:rsidR="005B07B2" w:rsidRDefault="004F2A57" w:rsidP="000E615C">
      <w:pPr>
        <w:rPr>
          <w:rFonts w:ascii="Arial" w:hAnsi="Arial" w:cs="Arial"/>
          <w:sz w:val="20"/>
          <w:szCs w:val="20"/>
        </w:rPr>
      </w:pPr>
      <w:r>
        <w:lastRenderedPageBreak/>
        <w:t>Estabelecer critérios e procedimentos para a segurança da informação dos registros organizacionais armazenados eletronicamente, emitindo diretrizes gerais para sua confidencialidade, integridade e disponibilidade.</w:t>
      </w:r>
    </w:p>
    <w:p w14:paraId="3238DC0E" w14:textId="2841A757" w:rsidR="005B07B2" w:rsidRPr="004F2A57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RAD-DGTEC-026 - </w:t>
      </w:r>
      <w:hyperlink r:id="rId29" w:tooltip="Exibir mensagem sobre o documento sigiloso" w:history="1">
        <w:r w:rsidRPr="004F2A57">
          <w:rPr>
            <w:rFonts w:ascii="Arial" w:hAnsi="Arial" w:cs="Arial"/>
            <w:b/>
            <w:bCs/>
            <w:sz w:val="20"/>
            <w:szCs w:val="20"/>
          </w:rPr>
          <w:t>Atender Solicitação sobre Acesso à Rede, à Internet e ao Correio Eletrônico</w:t>
        </w:r>
      </w:hyperlink>
    </w:p>
    <w:p w14:paraId="4D53EADC" w14:textId="12DDDE73" w:rsidR="005B07B2" w:rsidRDefault="004F2A57" w:rsidP="000E615C">
      <w:r>
        <w:t>Em</w:t>
      </w:r>
      <w:r w:rsidRPr="000E615C">
        <w:t xml:space="preserve"> revisão</w:t>
      </w:r>
    </w:p>
    <w:p w14:paraId="4A5ED961" w14:textId="3AFA3D36" w:rsidR="005B07B2" w:rsidRPr="004F2A57" w:rsidRDefault="008E569D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RAD-DGTEC-038 - </w:t>
      </w:r>
      <w:hyperlink r:id="rId30" w:tgtFrame="_blank" w:tooltip="Visualizar o arquivo com título Atender Solicitações de Serviços de Microinformática e revisão 2" w:history="1">
        <w:r w:rsidR="004F2A57" w:rsidRPr="004F2A57">
          <w:rPr>
            <w:rFonts w:ascii="Arial" w:hAnsi="Arial" w:cs="Arial"/>
            <w:b/>
            <w:bCs/>
            <w:sz w:val="20"/>
            <w:szCs w:val="20"/>
          </w:rPr>
          <w:t>Atender Solicitações de Serviços de Microinformática</w:t>
        </w:r>
      </w:hyperlink>
    </w:p>
    <w:p w14:paraId="33C64557" w14:textId="0A149D3B" w:rsidR="005B07B2" w:rsidRPr="000E615C" w:rsidRDefault="004F2A57" w:rsidP="000E615C">
      <w:r w:rsidRPr="000E615C">
        <w:t>Estabelecer critérios e procedimentos para os atendimentos às solicitações de serviços de informática.</w:t>
      </w:r>
    </w:p>
    <w:p w14:paraId="585EF20C" w14:textId="0D9A23C3" w:rsidR="005B07B2" w:rsidRPr="004F2A57" w:rsidRDefault="004F2A57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RAD-DGTEC-039 - </w:t>
      </w:r>
      <w:hyperlink r:id="rId31" w:tgtFrame="_blank" w:tooltip="Visualizar o arquivo com título Controlar Recebimento de Bens de Informática em Doação do Conselho Nacional de Justiça e revisão 1" w:history="1">
        <w:r w:rsidRPr="004F2A57">
          <w:rPr>
            <w:rFonts w:ascii="Arial" w:hAnsi="Arial" w:cs="Arial"/>
            <w:b/>
            <w:bCs/>
            <w:sz w:val="20"/>
            <w:szCs w:val="20"/>
          </w:rPr>
          <w:t>Controlar Recebimento de Bens de Informática em Doação do Conselho Nacional de Justiça</w:t>
        </w:r>
      </w:hyperlink>
    </w:p>
    <w:p w14:paraId="4D788F39" w14:textId="779B42C0" w:rsidR="005B07B2" w:rsidRPr="000E615C" w:rsidRDefault="004F2A57" w:rsidP="000E615C">
      <w:r w:rsidRPr="000E615C">
        <w:t>Estabelecer critérios e procedimentos para o recebimento de bens de informática em doação do Conselho Nacional de Justiça (CNJ).</w:t>
      </w:r>
    </w:p>
    <w:p w14:paraId="251B67E2" w14:textId="224FBFC5" w:rsidR="005B07B2" w:rsidRPr="004F2A57" w:rsidRDefault="004F2A57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RAD-DGTEC-040 - </w:t>
      </w:r>
      <w:hyperlink r:id="rId32" w:tgtFrame="_blank" w:tooltip="Documento que estabelece procedimentos para gerir o departamento de infraestrutura de tecnologia da informação e comunicação de dados" w:history="1">
        <w:r w:rsidRPr="004F2A57">
          <w:rPr>
            <w:rFonts w:ascii="Arial" w:hAnsi="Arial" w:cs="Arial"/>
            <w:b/>
            <w:bCs/>
            <w:sz w:val="20"/>
            <w:szCs w:val="20"/>
          </w:rPr>
          <w:t>Gerir o Departamento de Infraestrutura de Tecnologia da Informação e Comunicação de Dados</w:t>
        </w:r>
      </w:hyperlink>
    </w:p>
    <w:p w14:paraId="276D0B57" w14:textId="0269F0DC" w:rsidR="005B07B2" w:rsidRPr="000E615C" w:rsidRDefault="004F2A57" w:rsidP="000E615C">
      <w:r w:rsidRPr="000E615C">
        <w:t>Estabelecer critérios e procedimentos gerais para a gestão do Departamento de Infraestrutura de Tecnologia da Informação e Comunicação de Dados, da Diretoria-Geral de Tecnologia da Informação e Comunicação de Dados (DGTEC/DEINF) do Poder Judiciário do Estado do Rio de Janeiro (PJERJ).</w:t>
      </w:r>
    </w:p>
    <w:p w14:paraId="1D58D1F6" w14:textId="36C44C36" w:rsidR="005B07B2" w:rsidRPr="004F2A57" w:rsidRDefault="004F2A57" w:rsidP="00D31A4F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RAD-DGTEC-041 - </w:t>
      </w:r>
      <w:hyperlink r:id="rId33" w:tgtFrame="_blank" w:tooltip="Visualizar o arquivo com título Ciclo de Contratação de Solução de Tecnologia da Informação e Comunicação e revisão 1" w:history="1">
        <w:r w:rsidRPr="004F2A57">
          <w:rPr>
            <w:rFonts w:ascii="Arial" w:hAnsi="Arial" w:cs="Arial"/>
            <w:b/>
            <w:bCs/>
            <w:sz w:val="20"/>
            <w:szCs w:val="20"/>
          </w:rPr>
          <w:t>Ciclo de Contratação de Solução de Tecnologia da Informação e Comunicação</w:t>
        </w:r>
      </w:hyperlink>
    </w:p>
    <w:p w14:paraId="0B98CD90" w14:textId="1A84123D" w:rsidR="005B07B2" w:rsidRPr="000E615C" w:rsidRDefault="004F2A57" w:rsidP="000E615C">
      <w:r w:rsidRPr="000E615C">
        <w:t>Padronizar os critérios do ciclo de contratação de Solução de Tecnologia da Informação e Comunicação (STIC), nos termos da Resolução CNJ nº182, de 17/10/2013 e da Resolução TJ/OE Nº 28/2013, de 27/08/2013.</w:t>
      </w:r>
    </w:p>
    <w:p w14:paraId="2238F87B" w14:textId="597EA566" w:rsidR="008E569D" w:rsidRPr="004F2A57" w:rsidRDefault="004F2A57" w:rsidP="008E569D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RAD-DGTEC-042 - </w:t>
      </w:r>
      <w:hyperlink r:id="rId34" w:tgtFrame="_blank" w:tooltip="Visualizar o arquivo com título Ciclo de Execução de Contratos de Solução de Tecnologia da Informação e Comunicação e revisão 0" w:history="1">
        <w:r w:rsidRPr="004F2A57">
          <w:rPr>
            <w:rFonts w:ascii="Arial" w:hAnsi="Arial" w:cs="Arial"/>
            <w:b/>
            <w:bCs/>
            <w:sz w:val="20"/>
            <w:szCs w:val="20"/>
          </w:rPr>
          <w:t>Ciclo de Execução de Contratos de Solução de Tecnologia da Informação e Comunicação</w:t>
        </w:r>
      </w:hyperlink>
    </w:p>
    <w:p w14:paraId="7EA13BBB" w14:textId="5D330EE3" w:rsidR="008E569D" w:rsidRPr="000E615C" w:rsidRDefault="004F2A57" w:rsidP="000E615C">
      <w:r w:rsidRPr="000E615C">
        <w:t>Padronizar os critérios do ciclo de execução de Solução de Tecnologia da Informação e Comunicação (STIC, nos termos da Resolução CNJ nº182, de 17/10/2013 e da Resolução TJ/OE Nº 28/2013, de 27/08/2013.</w:t>
      </w:r>
    </w:p>
    <w:p w14:paraId="68AD99AB" w14:textId="22215931" w:rsidR="004F2A57" w:rsidRPr="004F2A57" w:rsidRDefault="004F2A57" w:rsidP="008E569D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RAD-DGTEC-043 - </w:t>
      </w:r>
      <w:hyperlink r:id="rId35" w:tgtFrame="_blank" w:tooltip="Estabelecer critérios e procedimentos para auxiliar as unidades do PJERJ no cadastramento, acesso e envio de dados ao SIGFIS." w:history="1">
        <w:r w:rsidRPr="004F2A57">
          <w:rPr>
            <w:rFonts w:ascii="Arial" w:hAnsi="Arial" w:cs="Arial"/>
            <w:b/>
            <w:bCs/>
            <w:sz w:val="20"/>
            <w:szCs w:val="20"/>
          </w:rPr>
          <w:t>Administrar o Lançamento de Dados no Sistema Integrado de Gestão Fiscal – SIGFIS</w:t>
        </w:r>
      </w:hyperlink>
    </w:p>
    <w:p w14:paraId="07B92BD9" w14:textId="410B4736" w:rsidR="008E569D" w:rsidRPr="000E615C" w:rsidRDefault="004F2A57" w:rsidP="000E615C">
      <w:r w:rsidRPr="000E615C">
        <w:t>Estabelecer critérios e procedimentos para auxiliar as unidades do Poder Judiciário do Estado do Rio de Janeiro (PJERJ) no cadastramento, acesso e envio de dados ao Sistema Integrado de Gestão Fiscal – SIGFIS, para o exercício do controle externo da Administração Pública, disponibilizado pelo Tribunal de Contas do Estado do Rio de Janeiro – TCE-RJ.</w:t>
      </w:r>
    </w:p>
    <w:p w14:paraId="65D3DA87" w14:textId="4BFA788E" w:rsidR="008E569D" w:rsidRPr="004F2A57" w:rsidRDefault="004F2A57" w:rsidP="008E569D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4F2A57">
        <w:rPr>
          <w:rFonts w:ascii="Arial" w:hAnsi="Arial" w:cs="Arial"/>
          <w:b/>
          <w:bCs/>
          <w:sz w:val="20"/>
          <w:szCs w:val="20"/>
        </w:rPr>
        <w:t xml:space="preserve">RAD-SGTEC-044 - </w:t>
      </w:r>
      <w:hyperlink r:id="rId36" w:tgtFrame="_blank" w:tooltip="Visualizar o arquivo com título Atender a Requisição de Manutenção Evolutiva e revisão 1" w:history="1">
        <w:r w:rsidRPr="004F2A57">
          <w:rPr>
            <w:rFonts w:ascii="Arial" w:hAnsi="Arial" w:cs="Arial"/>
            <w:b/>
            <w:bCs/>
            <w:sz w:val="20"/>
            <w:szCs w:val="20"/>
          </w:rPr>
          <w:t>Atender a Requisição de Manutenção Evolutiva</w:t>
        </w:r>
      </w:hyperlink>
    </w:p>
    <w:p w14:paraId="0B735DD0" w14:textId="3C24631A" w:rsidR="008E569D" w:rsidRPr="000E615C" w:rsidRDefault="004F2A57" w:rsidP="000E615C">
      <w:r w:rsidRPr="000E615C">
        <w:t xml:space="preserve">Esta Rotina Administrativa (RAD) se aplica ao Departamento de Soluções, da </w:t>
      </w:r>
      <w:proofErr w:type="spellStart"/>
      <w:r w:rsidRPr="000E615C">
        <w:t>Secretaria-Geral</w:t>
      </w:r>
      <w:proofErr w:type="spellEnd"/>
      <w:r w:rsidRPr="000E615C">
        <w:t xml:space="preserve"> de Tecnologia da Informação (SGTEC/DESOL) e tem o objetivo de orientar sobre o fluxo de atendimento das requisições de manutenção evolutiva no Poder Judiciário do Estado do Rio de Janeiro (PJERJ), passando a vigorar em 20/10/2023.</w:t>
      </w:r>
    </w:p>
    <w:p w14:paraId="539AA00D" w14:textId="669BB10B" w:rsidR="0010466F" w:rsidRPr="00DF6213" w:rsidRDefault="00550F0E" w:rsidP="00DC5FC0">
      <w:pPr>
        <w:pStyle w:val="Ttulo1"/>
      </w:pPr>
      <w:bookmarkStart w:id="64" w:name="_Toc166579489"/>
      <w:r>
        <w:lastRenderedPageBreak/>
        <w:t>5</w:t>
      </w:r>
      <w:r w:rsidR="0010466F" w:rsidRPr="00DF6213">
        <w:t>. INDICADORES E MÉTRICAS INSTITUCIONAIS</w:t>
      </w:r>
      <w:bookmarkEnd w:id="64"/>
    </w:p>
    <w:p w14:paraId="468340D5" w14:textId="4BF92288" w:rsidR="003D112E" w:rsidRPr="003D112E" w:rsidRDefault="00550F0E" w:rsidP="00DC5FC0">
      <w:pPr>
        <w:pStyle w:val="Ttulo2"/>
      </w:pPr>
      <w:bookmarkStart w:id="65" w:name="_Toc166579490"/>
      <w:r>
        <w:t>5</w:t>
      </w:r>
      <w:r w:rsidR="003D112E" w:rsidRPr="00DF6213">
        <w:t>.1</w:t>
      </w:r>
      <w:r>
        <w:t xml:space="preserve"> </w:t>
      </w:r>
      <w:r w:rsidR="009F1C73">
        <w:t>–</w:t>
      </w:r>
      <w:r w:rsidR="003D112E" w:rsidRPr="00DF6213">
        <w:t xml:space="preserve"> </w:t>
      </w:r>
      <w:proofErr w:type="spellStart"/>
      <w:r w:rsidR="00DA36AB" w:rsidRPr="00DA36AB">
        <w:t>IGovTIC</w:t>
      </w:r>
      <w:proofErr w:type="spellEnd"/>
      <w:r w:rsidR="00DA36AB" w:rsidRPr="00DA36AB">
        <w:t>-JUD</w:t>
      </w:r>
      <w:bookmarkEnd w:id="65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3181CC4" w14:textId="696118CC" w:rsidR="00ED33CD" w:rsidRPr="00D36144" w:rsidRDefault="00874F1F" w:rsidP="00120D5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874F1F">
              <w:rPr>
                <w:smallCaps/>
                <w:color w:val="FFFFFF" w:themeColor="background1"/>
                <w:sz w:val="24"/>
                <w:szCs w:val="24"/>
              </w:rPr>
              <w:t>IGovTIC</w:t>
            </w:r>
            <w:proofErr w:type="spellEnd"/>
            <w:r w:rsidRPr="00874F1F">
              <w:rPr>
                <w:smallCaps/>
                <w:color w:val="FFFFFF" w:themeColor="background1"/>
                <w:sz w:val="24"/>
                <w:szCs w:val="24"/>
              </w:rPr>
              <w:t>-JUD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ED33CD" w:rsidRPr="00D30798" w14:paraId="580EE7D4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3E6CB37" w14:textId="621740B1" w:rsidR="00ED33CD" w:rsidRPr="00D30798" w:rsidRDefault="00874F1F" w:rsidP="00120D5A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74F1F">
              <w:rPr>
                <w:smallCaps/>
                <w:color w:val="auto"/>
                <w:sz w:val="24"/>
                <w:szCs w:val="24"/>
              </w:rPr>
              <w:t>Departamento de Gestão de TIC (DEGET)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3D112E" w:rsidRPr="00D30798" w14:paraId="0FD5AF42" w14:textId="77777777" w:rsidTr="0080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AC056FC" w14:textId="4CA3DAD7" w:rsidR="003D112E" w:rsidRPr="00D30798" w:rsidRDefault="00A164FB" w:rsidP="00120D5A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3D112E" w:rsidRPr="00D30798" w14:paraId="18C4551B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3B122D0" w14:textId="2DCAF8DC" w:rsidR="003D112E" w:rsidRPr="00792EDD" w:rsidRDefault="00F62C4F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D914302" w14:textId="4859B00B" w:rsidR="003D112E" w:rsidRPr="009F04CD" w:rsidRDefault="003D112E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29A6C9F1" w14:textId="77777777" w:rsidTr="00BE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01BB2F" w14:textId="1D445DD1" w:rsidR="003D112E" w:rsidRPr="00792EDD" w:rsidRDefault="00F62C4F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076D3C4" w14:textId="45A477F2" w:rsidR="003D112E" w:rsidRPr="009F04CD" w:rsidRDefault="003D112E" w:rsidP="00120D5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6598C826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9DDDD1" w14:textId="482A4017" w:rsidR="003D112E" w:rsidRPr="00792EDD" w:rsidRDefault="00F62C4F" w:rsidP="00E0090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9538EC5" w14:textId="51616411" w:rsidR="003D112E" w:rsidRPr="009F04CD" w:rsidRDefault="003D112E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68249C7" w14:textId="77777777" w:rsidR="00792EDD" w:rsidRPr="00213D5D" w:rsidRDefault="00792EDD" w:rsidP="00792EDD"/>
    <w:p w14:paraId="1876BD50" w14:textId="0B08F16F" w:rsidR="00792EDD" w:rsidRPr="00213D5D" w:rsidRDefault="00DC5FC0" w:rsidP="00DC5FC0">
      <w:pPr>
        <w:jc w:val="center"/>
      </w:pPr>
      <w:r>
        <w:rPr>
          <w:noProof/>
        </w:rPr>
        <w:drawing>
          <wp:inline distT="0" distB="0" distL="0" distR="0" wp14:anchorId="7122F0CF" wp14:editId="647D2BF5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8E0C29" w14:textId="2C71B617" w:rsidR="003D112E" w:rsidRPr="00C00472" w:rsidRDefault="003D112E" w:rsidP="003D112E">
      <w:pPr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0FA0BFE" w14:textId="4A967D14" w:rsidR="007E2BE2" w:rsidRDefault="00DC5FC0" w:rsidP="00792EDD">
      <w:proofErr w:type="spellStart"/>
      <w:r>
        <w:t>xxxx</w:t>
      </w:r>
      <w:proofErr w:type="spellEnd"/>
    </w:p>
    <w:p w14:paraId="5861A100" w14:textId="410DC042" w:rsidR="000E615C" w:rsidRDefault="000E615C">
      <w:pPr>
        <w:jc w:val="left"/>
      </w:pPr>
      <w:r>
        <w:br w:type="page"/>
      </w:r>
    </w:p>
    <w:p w14:paraId="47958B01" w14:textId="77777777" w:rsidR="0023532B" w:rsidRDefault="0023532B" w:rsidP="00792EDD"/>
    <w:p w14:paraId="6F5A8448" w14:textId="1E01EBB7" w:rsidR="0023532B" w:rsidRDefault="0023532B" w:rsidP="00DC5FC0">
      <w:pPr>
        <w:pStyle w:val="Ttulo2"/>
      </w:pPr>
      <w:bookmarkStart w:id="66" w:name="_Toc166579491"/>
      <w:r>
        <w:t>5</w:t>
      </w:r>
      <w:r w:rsidRPr="00DF6213">
        <w:t>.</w:t>
      </w:r>
      <w:r w:rsidR="0097738A">
        <w:t>2</w:t>
      </w:r>
      <w:r>
        <w:t xml:space="preserve"> –</w:t>
      </w:r>
      <w:r w:rsidRPr="00DF6213">
        <w:t xml:space="preserve"> </w:t>
      </w:r>
      <w:r w:rsidR="00874F1F" w:rsidRPr="00874F1F">
        <w:t>Índice de Processos Eletrônicos Novos</w:t>
      </w:r>
      <w:bookmarkEnd w:id="66"/>
      <w:r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32B" w:rsidRPr="00C91D58" w14:paraId="3402120E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E91A208" w14:textId="7D6D6B3D" w:rsidR="0023532B" w:rsidRPr="00D36144" w:rsidRDefault="00874F1F" w:rsidP="00120D5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74F1F">
              <w:rPr>
                <w:smallCaps/>
                <w:color w:val="FFFFFF" w:themeColor="background1"/>
                <w:sz w:val="24"/>
                <w:szCs w:val="24"/>
              </w:rPr>
              <w:t>Índice de Processos Eletrônicos Novos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3532B" w:rsidRPr="00D30798" w14:paraId="712CB083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7B7462" w14:textId="33A91DE1" w:rsidR="0023532B" w:rsidRPr="00D30798" w:rsidRDefault="00874F1F" w:rsidP="00120D5A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74F1F">
              <w:rPr>
                <w:smallCaps/>
                <w:color w:val="auto"/>
                <w:sz w:val="24"/>
                <w:szCs w:val="24"/>
              </w:rPr>
              <w:t>Departamento de Processo Judicial Eletrônico - PJE (DEPJE)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3532B" w:rsidRPr="00D30798" w14:paraId="738B1D30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A7C746B" w14:textId="77777777" w:rsidR="0023532B" w:rsidRPr="00D30798" w:rsidRDefault="0023532B" w:rsidP="00120D5A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3532B" w:rsidRPr="00D30798" w14:paraId="229849BA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AEB9EFE" w14:textId="77777777" w:rsidR="0023532B" w:rsidRPr="00792EDD" w:rsidRDefault="0023532B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C3F471E" w14:textId="4FF6F979" w:rsidR="0023532B" w:rsidRPr="009F04CD" w:rsidRDefault="0023532B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148840E1" w14:textId="77777777" w:rsidTr="00120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5139EA" w14:textId="5F5AC4CB" w:rsidR="0023532B" w:rsidRPr="00792EDD" w:rsidRDefault="0023532B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2279B94" w14:textId="67B302CA" w:rsidR="0023532B" w:rsidRPr="009F04CD" w:rsidRDefault="0023532B" w:rsidP="00120D5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29CE29D4" w14:textId="77777777" w:rsidTr="00E0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2DAF7C" w14:textId="64E0B8D6" w:rsidR="0023532B" w:rsidRPr="00792EDD" w:rsidRDefault="0023532B" w:rsidP="00E0090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5B20748" w14:textId="570446EC" w:rsidR="0023532B" w:rsidRPr="009F04CD" w:rsidRDefault="0023532B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527673B" w14:textId="77777777" w:rsidR="0023532B" w:rsidRPr="00213D5D" w:rsidRDefault="0023532B" w:rsidP="0023532B"/>
    <w:p w14:paraId="2882B289" w14:textId="40EB48A4" w:rsidR="0023532B" w:rsidRDefault="00DC5FC0" w:rsidP="00DC5FC0">
      <w:pPr>
        <w:jc w:val="center"/>
      </w:pPr>
      <w:r>
        <w:rPr>
          <w:noProof/>
        </w:rPr>
        <w:drawing>
          <wp:inline distT="0" distB="0" distL="0" distR="0" wp14:anchorId="1D4E847C" wp14:editId="683D58C5">
            <wp:extent cx="3971700" cy="2390775"/>
            <wp:effectExtent l="19050" t="19050" r="10160" b="9525"/>
            <wp:docPr id="5" name="Imagem 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C36E7A" w14:textId="77777777" w:rsidR="00DC5FC0" w:rsidRPr="00213D5D" w:rsidRDefault="00DC5FC0" w:rsidP="0023532B"/>
    <w:p w14:paraId="3908047E" w14:textId="77777777" w:rsidR="0023532B" w:rsidRPr="00C00472" w:rsidRDefault="0023532B" w:rsidP="0023532B">
      <w:pPr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3A11DA2" w14:textId="3AE5C76B" w:rsidR="0023532B" w:rsidRDefault="00DC5FC0" w:rsidP="0023532B">
      <w:proofErr w:type="spellStart"/>
      <w:r>
        <w:t>xxxx</w:t>
      </w:r>
      <w:proofErr w:type="spellEnd"/>
    </w:p>
    <w:p w14:paraId="0D9F8DE6" w14:textId="323365A4" w:rsidR="000E615C" w:rsidRDefault="000E615C">
      <w:pPr>
        <w:jc w:val="left"/>
      </w:pPr>
      <w:r>
        <w:br w:type="page"/>
      </w:r>
    </w:p>
    <w:p w14:paraId="78CF1D4A" w14:textId="77777777" w:rsidR="00C65048" w:rsidRDefault="00C65048" w:rsidP="00C65048"/>
    <w:p w14:paraId="3D137424" w14:textId="3F79FB2E" w:rsidR="00C65048" w:rsidRDefault="00C65048" w:rsidP="00DC5FC0">
      <w:pPr>
        <w:pStyle w:val="Ttulo2"/>
      </w:pPr>
      <w:bookmarkStart w:id="67" w:name="_Toc166579492"/>
      <w:r>
        <w:t>5</w:t>
      </w:r>
      <w:r w:rsidRPr="00DF6213">
        <w:t>.</w:t>
      </w:r>
      <w:r>
        <w:t>3 –</w:t>
      </w:r>
      <w:r w:rsidRPr="00DF6213">
        <w:t xml:space="preserve"> </w:t>
      </w:r>
      <w:r w:rsidRPr="00C65048">
        <w:t>Nível de Atendimento de Serviços Não Codificados do SEGRA</w:t>
      </w:r>
      <w:r w:rsidRPr="0023532B">
        <w:t>.</w:t>
      </w:r>
      <w:bookmarkEnd w:id="67"/>
      <w:r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C91D58" w14:paraId="0202EDA7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E5B5CC6" w14:textId="08E61D90" w:rsidR="00C65048" w:rsidRPr="00D36144" w:rsidRDefault="003F1981" w:rsidP="00120D5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3F1981">
              <w:rPr>
                <w:smallCaps/>
                <w:color w:val="FFFFFF" w:themeColor="background1"/>
                <w:sz w:val="24"/>
                <w:szCs w:val="24"/>
              </w:rPr>
              <w:t>Disponibilidade de Banco de Dados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5048" w:rsidRPr="00D30798" w14:paraId="207D1191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41D33D1C" w:rsidR="00C65048" w:rsidRPr="00D30798" w:rsidRDefault="00BB7292" w:rsidP="00120D5A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hyperlink r:id="rId38" w:tooltip="Departamento de Sustentação de Tecnologia da Informação e Comunicação de Dados (DETIC), clique para expandir ou recolher o menu." w:history="1">
              <w:r w:rsidR="00663961" w:rsidRPr="004548DB">
                <w:rPr>
                  <w:color w:val="auto"/>
                  <w:sz w:val="28"/>
                  <w:szCs w:val="28"/>
                </w:rPr>
                <w:t>D</w:t>
              </w:r>
              <w:r w:rsidR="00663961" w:rsidRPr="00663961">
                <w:rPr>
                  <w:smallCaps/>
                  <w:color w:val="auto"/>
                  <w:sz w:val="24"/>
                  <w:szCs w:val="24"/>
                </w:rPr>
                <w:t>epartamento de Sustentação de Tecnologia da Informação e Comunicação de Dados (DETIC)</w:t>
              </w:r>
            </w:hyperlink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5048" w:rsidRPr="00D30798" w14:paraId="1E062689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17B84C" w14:textId="77777777" w:rsidR="00C65048" w:rsidRPr="00D30798" w:rsidRDefault="00C65048" w:rsidP="00120D5A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C65048" w:rsidRPr="00D30798" w14:paraId="1D14571F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D011109" w14:textId="77777777" w:rsidR="00C65048" w:rsidRPr="00792EDD" w:rsidRDefault="00C65048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CF77A1B" w14:textId="45707DB3" w:rsidR="00C65048" w:rsidRPr="009F04CD" w:rsidRDefault="00C65048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42119701" w14:textId="77777777" w:rsidTr="00120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05EF6A9" w14:textId="77777777" w:rsidR="00C65048" w:rsidRPr="00792EDD" w:rsidRDefault="00C65048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629864A" w14:textId="65CDA0C6" w:rsidR="00C65048" w:rsidRPr="009F04CD" w:rsidRDefault="00C65048" w:rsidP="00120D5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0F4C9855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7DADE33" w14:textId="259AE8C4" w:rsidR="00C65048" w:rsidRPr="00792EDD" w:rsidRDefault="00C65048" w:rsidP="00E0090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628B2663" w14:textId="39B950CC" w:rsidR="00C65048" w:rsidRPr="009F04CD" w:rsidRDefault="00C65048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FC3999" w14:textId="79292B65" w:rsidR="00C65048" w:rsidRPr="00213D5D" w:rsidRDefault="00DC5FC0" w:rsidP="00DC5FC0">
      <w:pPr>
        <w:jc w:val="center"/>
      </w:pPr>
      <w:r>
        <w:rPr>
          <w:noProof/>
        </w:rPr>
        <w:drawing>
          <wp:inline distT="0" distB="0" distL="0" distR="0" wp14:anchorId="3B72AF16" wp14:editId="39B3C053">
            <wp:extent cx="3971700" cy="2390775"/>
            <wp:effectExtent l="19050" t="19050" r="10160" b="9525"/>
            <wp:docPr id="4" name="Imagem 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3A680B" w14:textId="77777777" w:rsidR="00C65048" w:rsidRPr="00C00472" w:rsidRDefault="00C65048" w:rsidP="00C65048">
      <w:pPr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6B63015" w14:textId="3DC6112C" w:rsidR="00C65048" w:rsidRDefault="00DC5FC0" w:rsidP="00C65048">
      <w:proofErr w:type="spellStart"/>
      <w:r>
        <w:t>xxxx</w:t>
      </w:r>
      <w:proofErr w:type="spellEnd"/>
    </w:p>
    <w:p w14:paraId="6D40D591" w14:textId="66B79884" w:rsidR="000E615C" w:rsidRDefault="000E615C">
      <w:pPr>
        <w:jc w:val="left"/>
      </w:pPr>
      <w:r>
        <w:br w:type="page"/>
      </w:r>
    </w:p>
    <w:p w14:paraId="2C62FC8F" w14:textId="77777777" w:rsidR="00663961" w:rsidRDefault="00663961" w:rsidP="006B6736"/>
    <w:p w14:paraId="7FFECD22" w14:textId="213DE8BA" w:rsidR="006B6736" w:rsidRDefault="006B6736" w:rsidP="00DC5FC0">
      <w:pPr>
        <w:pStyle w:val="Ttulo2"/>
      </w:pPr>
      <w:bookmarkStart w:id="68" w:name="_Toc166579493"/>
      <w:r>
        <w:t>5</w:t>
      </w:r>
      <w:r w:rsidRPr="00DF6213">
        <w:t>.</w:t>
      </w:r>
      <w:r>
        <w:t>4 –</w:t>
      </w:r>
      <w:r w:rsidRPr="00DF6213">
        <w:t xml:space="preserve"> </w:t>
      </w:r>
      <w:r w:rsidR="00F0389E" w:rsidRPr="00F0389E">
        <w:t xml:space="preserve">Relatório Demonstrativo da Eficácia do </w:t>
      </w:r>
      <w:proofErr w:type="spellStart"/>
      <w:r w:rsidR="00F0389E" w:rsidRPr="00F0389E">
        <w:t>Call</w:t>
      </w:r>
      <w:proofErr w:type="spellEnd"/>
      <w:r w:rsidR="00F0389E" w:rsidRPr="00F0389E">
        <w:t xml:space="preserve"> Center</w:t>
      </w:r>
      <w:bookmarkEnd w:id="6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C91D58" w14:paraId="31A98F5E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D109ED0" w14:textId="3F44F8B7" w:rsidR="006B6736" w:rsidRPr="00D36144" w:rsidRDefault="00F0389E" w:rsidP="00120D5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F0389E">
              <w:rPr>
                <w:smallCaps/>
                <w:color w:val="FFFFFF" w:themeColor="background1"/>
                <w:sz w:val="24"/>
                <w:szCs w:val="24"/>
              </w:rPr>
              <w:t xml:space="preserve">Relatório Demonstrativo da Eficácia do </w:t>
            </w:r>
            <w:proofErr w:type="spellStart"/>
            <w:r w:rsidRPr="00F0389E">
              <w:rPr>
                <w:smallCaps/>
                <w:color w:val="FFFFFF" w:themeColor="background1"/>
                <w:sz w:val="24"/>
                <w:szCs w:val="24"/>
              </w:rPr>
              <w:t>Call</w:t>
            </w:r>
            <w:proofErr w:type="spellEnd"/>
            <w:r w:rsidRPr="00F0389E">
              <w:rPr>
                <w:smallCaps/>
                <w:color w:val="FFFFFF" w:themeColor="background1"/>
                <w:sz w:val="24"/>
                <w:szCs w:val="24"/>
              </w:rPr>
              <w:t xml:space="preserve"> Center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B6736" w:rsidRPr="00D30798" w14:paraId="51075722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581A7029" w:rsidR="006B6736" w:rsidRPr="00D30798" w:rsidRDefault="00F0389E" w:rsidP="00120D5A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F0389E">
              <w:rPr>
                <w:smallCaps/>
                <w:color w:val="auto"/>
                <w:sz w:val="24"/>
                <w:szCs w:val="24"/>
              </w:rPr>
              <w:t>Departamento de Atendimento e Suporte ao Usuário (DEATE)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B6736" w:rsidRPr="00D30798" w14:paraId="277B5FAF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D30798" w:rsidRDefault="006B6736" w:rsidP="00120D5A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6B6736" w:rsidRPr="00D30798" w14:paraId="0BC609E5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7777777" w:rsidR="006B6736" w:rsidRPr="00792EDD" w:rsidRDefault="006B6736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60616FE0" w:rsidR="006B6736" w:rsidRPr="009F04CD" w:rsidRDefault="006B6736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11C5BF13" w14:textId="77777777" w:rsidTr="00120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792EDD" w:rsidRDefault="006B6736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6964E53B" w:rsidR="006B6736" w:rsidRPr="009F04CD" w:rsidRDefault="006B6736" w:rsidP="00120D5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32D053AF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545A93A4" w:rsidR="006B6736" w:rsidRPr="00792EDD" w:rsidRDefault="006B6736" w:rsidP="00E0090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3CBF705" w14:textId="4CE26981" w:rsidR="006B6736" w:rsidRPr="009F04CD" w:rsidRDefault="006B6736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272462" w14:textId="77777777" w:rsidR="006B6736" w:rsidRPr="00213D5D" w:rsidRDefault="006B6736" w:rsidP="006B6736"/>
    <w:p w14:paraId="6B644EC0" w14:textId="757B58D4" w:rsidR="006B6736" w:rsidRDefault="00DC5FC0" w:rsidP="00DC5FC0">
      <w:pPr>
        <w:jc w:val="center"/>
      </w:pPr>
      <w:r>
        <w:rPr>
          <w:noProof/>
        </w:rPr>
        <w:drawing>
          <wp:inline distT="0" distB="0" distL="0" distR="0" wp14:anchorId="180BA804" wp14:editId="12397201">
            <wp:extent cx="3971700" cy="2390775"/>
            <wp:effectExtent l="19050" t="19050" r="10160" b="9525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FFB57C" w14:textId="77777777" w:rsidR="00DC5FC0" w:rsidRPr="00213D5D" w:rsidRDefault="00DC5FC0" w:rsidP="006B6736"/>
    <w:p w14:paraId="022E0AA6" w14:textId="77777777" w:rsidR="006B6736" w:rsidRPr="00C00472" w:rsidRDefault="006B6736" w:rsidP="006B6736">
      <w:pPr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AB0DFFE" w14:textId="701D388F" w:rsidR="008718AE" w:rsidRDefault="000E615C" w:rsidP="00455FB0">
      <w:proofErr w:type="spellStart"/>
      <w:r>
        <w:t>X</w:t>
      </w:r>
      <w:r w:rsidR="002C354A">
        <w:t>xxx</w:t>
      </w:r>
      <w:proofErr w:type="spellEnd"/>
    </w:p>
    <w:p w14:paraId="4D120596" w14:textId="2C0FAB54" w:rsidR="000E615C" w:rsidRDefault="000E615C">
      <w:pPr>
        <w:jc w:val="left"/>
      </w:pPr>
      <w:r>
        <w:br w:type="page"/>
      </w:r>
    </w:p>
    <w:p w14:paraId="680B2577" w14:textId="5D40AB7F" w:rsidR="00455FB0" w:rsidRDefault="00455FB0" w:rsidP="00DC5FC0">
      <w:pPr>
        <w:pStyle w:val="Ttulo2"/>
      </w:pPr>
      <w:bookmarkStart w:id="69" w:name="_Toc166579494"/>
      <w:r>
        <w:lastRenderedPageBreak/>
        <w:t>5</w:t>
      </w:r>
      <w:r w:rsidRPr="00DF6213">
        <w:t>.</w:t>
      </w:r>
      <w:r>
        <w:t>5 –</w:t>
      </w:r>
      <w:r w:rsidRPr="00DF6213">
        <w:t xml:space="preserve"> </w:t>
      </w:r>
      <w:r w:rsidR="00404E96" w:rsidRPr="00404E96">
        <w:t>Índice de capacidade de atendimento do volume de solicitações da SGTEC</w:t>
      </w:r>
      <w:bookmarkEnd w:id="6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C91D58" w14:paraId="0BB5A7E4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A9307B" w14:textId="3876DE59" w:rsidR="00455FB0" w:rsidRPr="00D36144" w:rsidRDefault="00404E96" w:rsidP="00120D5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404E96">
              <w:rPr>
                <w:smallCaps/>
                <w:color w:val="FFFFFF" w:themeColor="background1"/>
                <w:sz w:val="24"/>
                <w:szCs w:val="24"/>
              </w:rPr>
              <w:t>Índice de capacidade de atendimento do volume de solicitações da SGTEC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455FB0" w:rsidRPr="00D30798" w14:paraId="59A7885B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2F69B10" w14:textId="31C0CA63" w:rsidR="00455FB0" w:rsidRPr="00D30798" w:rsidRDefault="00404E96" w:rsidP="00120D5A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F0389E">
              <w:rPr>
                <w:smallCaps/>
                <w:color w:val="auto"/>
                <w:sz w:val="24"/>
                <w:szCs w:val="24"/>
              </w:rPr>
              <w:t>Departamento de Atendimento e Suporte ao Usuário (DEATE)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455FB0" w:rsidRPr="00D30798" w14:paraId="7AF00C48" w14:textId="77777777" w:rsidTr="0012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D30798" w:rsidRDefault="00455FB0" w:rsidP="00120D5A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455FB0" w:rsidRPr="00D30798" w14:paraId="2B444F72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141DD1" w14:textId="77777777" w:rsidR="00455FB0" w:rsidRPr="00792EDD" w:rsidRDefault="00455FB0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44A687AA" w:rsidR="00455FB0" w:rsidRPr="009F04CD" w:rsidRDefault="00455FB0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61CE145C" w14:textId="77777777" w:rsidTr="00120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A88E2B" w14:textId="77777777" w:rsidR="00455FB0" w:rsidRPr="00792EDD" w:rsidRDefault="00455FB0" w:rsidP="00E00904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50A42830" w:rsidR="00455FB0" w:rsidRPr="009F04CD" w:rsidRDefault="00455FB0" w:rsidP="00120D5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135A7CAA" w14:textId="77777777" w:rsidTr="0012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EFF845" w14:textId="30875F2A" w:rsidR="00455FB0" w:rsidRPr="00792EDD" w:rsidRDefault="00455FB0" w:rsidP="00E0090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61449A8" w14:textId="4972A0FF" w:rsidR="00455FB0" w:rsidRPr="009F04CD" w:rsidRDefault="00455FB0" w:rsidP="00120D5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6D35F1" w14:textId="77777777" w:rsidR="00455FB0" w:rsidRPr="00213D5D" w:rsidRDefault="00455FB0" w:rsidP="00455FB0"/>
    <w:p w14:paraId="0E622873" w14:textId="48D791EF" w:rsidR="00455FB0" w:rsidRDefault="002C354A" w:rsidP="002C354A">
      <w:pPr>
        <w:jc w:val="center"/>
      </w:pPr>
      <w:r>
        <w:rPr>
          <w:noProof/>
        </w:rPr>
        <w:drawing>
          <wp:inline distT="0" distB="0" distL="0" distR="0" wp14:anchorId="11066022" wp14:editId="3CA2B7D1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0E6F8F" w14:textId="77777777" w:rsidR="002C354A" w:rsidRPr="00213D5D" w:rsidRDefault="002C354A" w:rsidP="00455FB0"/>
    <w:p w14:paraId="66B681BE" w14:textId="77777777" w:rsidR="00455FB0" w:rsidRPr="00C00472" w:rsidRDefault="00455FB0" w:rsidP="00455FB0">
      <w:pPr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9135DEB" w14:textId="457B8298" w:rsidR="00404E96" w:rsidRDefault="002C354A" w:rsidP="009678CA">
      <w:proofErr w:type="spellStart"/>
      <w:r>
        <w:t>xxxx</w:t>
      </w:r>
      <w:proofErr w:type="spellEnd"/>
    </w:p>
    <w:p w14:paraId="060BCDFE" w14:textId="0E568A4D" w:rsidR="00404E96" w:rsidRDefault="00404E96" w:rsidP="009678CA"/>
    <w:p w14:paraId="77980FF1" w14:textId="77777777" w:rsidR="00BE2C76" w:rsidRDefault="00BE2C76" w:rsidP="00792EDD"/>
    <w:p w14:paraId="1953C65D" w14:textId="1D81014C" w:rsidR="00346C40" w:rsidRDefault="00346C40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br w:type="page"/>
      </w:r>
    </w:p>
    <w:p w14:paraId="0C67E0A4" w14:textId="06DCE3EA" w:rsidR="0098385D" w:rsidRPr="000E615C" w:rsidRDefault="008C35AA" w:rsidP="00DC5FC0">
      <w:pPr>
        <w:pStyle w:val="Ttulo1"/>
      </w:pPr>
      <w:bookmarkStart w:id="70" w:name="_Toc166579495"/>
      <w:r w:rsidRPr="000E615C">
        <w:lastRenderedPageBreak/>
        <w:t>6</w:t>
      </w:r>
      <w:r w:rsidR="00240ACB" w:rsidRPr="000E615C">
        <w:t>.</w:t>
      </w:r>
      <w:bookmarkStart w:id="71" w:name="_Toc859847167"/>
      <w:r w:rsidR="0098385D" w:rsidRPr="000E615C">
        <w:t xml:space="preserve"> Governança de TIC</w:t>
      </w:r>
      <w:bookmarkEnd w:id="71"/>
      <w:bookmarkEnd w:id="70"/>
    </w:p>
    <w:p w14:paraId="08219A52" w14:textId="786F107F" w:rsidR="0098385D" w:rsidRPr="00F82DD8" w:rsidRDefault="0098385D" w:rsidP="00DC5FC0">
      <w:pPr>
        <w:pStyle w:val="Ttulo2"/>
        <w:rPr>
          <w:rFonts w:eastAsia="Aptos"/>
          <w:lang w:val="en-US"/>
        </w:rPr>
      </w:pPr>
      <w:bookmarkStart w:id="72" w:name="_Toc166579496"/>
      <w:r w:rsidRPr="00F82DD8">
        <w:t xml:space="preserve">6.1 </w:t>
      </w:r>
      <w:r w:rsidRPr="00F82DD8">
        <w:rPr>
          <w:rFonts w:eastAsia="Aptos"/>
          <w:lang w:val="en-US"/>
        </w:rPr>
        <w:t>Observabilidade</w:t>
      </w:r>
      <w:bookmarkEnd w:id="72"/>
    </w:p>
    <w:p w14:paraId="6E0ABC65" w14:textId="1F9FB022" w:rsidR="00F82DD8" w:rsidRPr="00BB7292" w:rsidRDefault="00BB7292" w:rsidP="00BB7292">
      <w:pPr>
        <w:rPr>
          <w:lang w:val="en-US"/>
        </w:rPr>
      </w:pPr>
      <w:r w:rsidRPr="0025713C">
        <w:rPr>
          <w:lang w:val="en-US"/>
        </w:rPr>
        <w:t>- Objetivo/Aquisição/Primeiros resultados</w:t>
      </w:r>
    </w:p>
    <w:p w14:paraId="0C29EBBF" w14:textId="48A60CFE" w:rsidR="0098385D" w:rsidRPr="00F82DD8" w:rsidRDefault="0098385D" w:rsidP="00DC5FC0">
      <w:pPr>
        <w:pStyle w:val="Ttulo2"/>
        <w:rPr>
          <w:rFonts w:eastAsia="Aptos"/>
        </w:rPr>
      </w:pPr>
      <w:bookmarkStart w:id="73" w:name="_Toc166579497"/>
      <w:r w:rsidRPr="00F82DD8">
        <w:t xml:space="preserve">6.2 </w:t>
      </w:r>
      <w:r w:rsidRPr="00F82DD8">
        <w:rPr>
          <w:rFonts w:eastAsia="Aptos"/>
        </w:rPr>
        <w:t>Playbook</w:t>
      </w:r>
      <w:bookmarkEnd w:id="73"/>
    </w:p>
    <w:p w14:paraId="0BD4B9E0" w14:textId="3729322C" w:rsidR="00DC5FC0" w:rsidRPr="00BB7292" w:rsidRDefault="00BB7292" w:rsidP="00BB7292">
      <w:r w:rsidRPr="00F82DD8">
        <w:t>-Necessidade / Conteúdo/ Validações/ Acompanhamento</w:t>
      </w:r>
    </w:p>
    <w:p w14:paraId="09719E7D" w14:textId="64362274" w:rsidR="0025713C" w:rsidRPr="00F82DD8" w:rsidRDefault="0098385D" w:rsidP="00DC5FC0">
      <w:pPr>
        <w:pStyle w:val="Ttulo2"/>
        <w:rPr>
          <w:rFonts w:eastAsia="Aptos"/>
        </w:rPr>
      </w:pPr>
      <w:bookmarkStart w:id="74" w:name="_Toc166579498"/>
      <w:r w:rsidRPr="00F82DD8">
        <w:t xml:space="preserve">6.3 </w:t>
      </w:r>
      <w:r w:rsidR="0025713C" w:rsidRPr="00F82DD8">
        <w:rPr>
          <w:rFonts w:eastAsia="Aptos"/>
        </w:rPr>
        <w:t>Melhorias G</w:t>
      </w:r>
      <w:r w:rsidRPr="00F82DD8">
        <w:rPr>
          <w:rFonts w:eastAsia="Aptos"/>
        </w:rPr>
        <w:t>overnança das contratações de TIC</w:t>
      </w:r>
      <w:bookmarkEnd w:id="74"/>
      <w:r w:rsidRPr="00F82DD8">
        <w:rPr>
          <w:rFonts w:eastAsia="Aptos"/>
        </w:rPr>
        <w:t xml:space="preserve"> </w:t>
      </w:r>
    </w:p>
    <w:p w14:paraId="7533CA97" w14:textId="65D599AE" w:rsidR="00F82DD8" w:rsidRPr="00BB7292" w:rsidRDefault="00BB7292" w:rsidP="00BB7292">
      <w:pPr>
        <w:rPr>
          <w:rFonts w:eastAsia="Aptos"/>
        </w:rPr>
      </w:pPr>
      <w:r w:rsidRPr="0025713C">
        <w:rPr>
          <w:rFonts w:eastAsia="Aptos"/>
        </w:rPr>
        <w:t>-Cenários / fluxo DIGAC</w:t>
      </w:r>
    </w:p>
    <w:p w14:paraId="2C4A52F0" w14:textId="77777777" w:rsidR="0025713C" w:rsidRPr="00F82DD8" w:rsidRDefault="0098385D" w:rsidP="00DC5FC0">
      <w:pPr>
        <w:pStyle w:val="Ttulo2"/>
        <w:rPr>
          <w:rFonts w:eastAsia="Aptos"/>
        </w:rPr>
      </w:pPr>
      <w:bookmarkStart w:id="75" w:name="_Toc166579499"/>
      <w:r w:rsidRPr="00F82DD8">
        <w:t xml:space="preserve">6.4 </w:t>
      </w:r>
      <w:r w:rsidRPr="00F82DD8">
        <w:rPr>
          <w:rFonts w:eastAsia="Aptos"/>
        </w:rPr>
        <w:t>Gestão de Riscos de TIC</w:t>
      </w:r>
      <w:bookmarkEnd w:id="75"/>
      <w:r w:rsidRPr="00F82DD8">
        <w:rPr>
          <w:rFonts w:eastAsia="Aptos"/>
        </w:rPr>
        <w:t xml:space="preserve"> </w:t>
      </w:r>
    </w:p>
    <w:p w14:paraId="7A6CA807" w14:textId="37FBB7D8" w:rsidR="00F82DD8" w:rsidRPr="00F82DD8" w:rsidRDefault="00BB7292" w:rsidP="00DC5FC0">
      <w:pPr>
        <w:rPr>
          <w:rFonts w:eastAsia="Aptos"/>
        </w:rPr>
      </w:pPr>
      <w:r>
        <w:rPr>
          <w:rFonts w:eastAsia="Aptos"/>
        </w:rPr>
        <w:t>– M</w:t>
      </w:r>
      <w:r w:rsidRPr="0025713C">
        <w:rPr>
          <w:rFonts w:eastAsia="Aptos"/>
        </w:rPr>
        <w:t>apeamento / plano de gestão de riscos de TIC</w:t>
      </w:r>
    </w:p>
    <w:p w14:paraId="76A4754E" w14:textId="695DB848" w:rsidR="0025713C" w:rsidRDefault="0098385D" w:rsidP="00DC5FC0">
      <w:pPr>
        <w:pStyle w:val="Ttulo2"/>
        <w:rPr>
          <w:rFonts w:eastAsia="Aptos"/>
        </w:rPr>
      </w:pPr>
      <w:bookmarkStart w:id="76" w:name="_Toc166579500"/>
      <w:r w:rsidRPr="00F82DD8">
        <w:t xml:space="preserve">6.5 </w:t>
      </w:r>
      <w:r w:rsidRPr="00F82DD8">
        <w:rPr>
          <w:rFonts w:eastAsia="Aptos"/>
        </w:rPr>
        <w:t>Contratação /Implantação nova solução ITSM</w:t>
      </w:r>
      <w:bookmarkEnd w:id="76"/>
    </w:p>
    <w:p w14:paraId="4B738E81" w14:textId="15F90645" w:rsidR="00DC5FC0" w:rsidRPr="00DC5FC0" w:rsidRDefault="00DC5FC0" w:rsidP="00DC5FC0"/>
    <w:p w14:paraId="1BCDAF8A" w14:textId="25312C4D" w:rsidR="0025713C" w:rsidRPr="00F82DD8" w:rsidRDefault="0098385D" w:rsidP="00DC5FC0">
      <w:pPr>
        <w:pStyle w:val="Ttulo2"/>
        <w:rPr>
          <w:rFonts w:eastAsia="Aptos"/>
        </w:rPr>
      </w:pPr>
      <w:bookmarkStart w:id="77" w:name="_Toc166579501"/>
      <w:r w:rsidRPr="00F82DD8">
        <w:t xml:space="preserve">6.6 </w:t>
      </w:r>
      <w:r w:rsidRPr="00F82DD8">
        <w:rPr>
          <w:rFonts w:eastAsia="Aptos"/>
        </w:rPr>
        <w:t>Mapeamento de Processos SGTEC</w:t>
      </w:r>
      <w:bookmarkEnd w:id="77"/>
      <w:r w:rsidRPr="00F82DD8">
        <w:rPr>
          <w:rFonts w:eastAsia="Aptos"/>
        </w:rPr>
        <w:t xml:space="preserve"> </w:t>
      </w:r>
    </w:p>
    <w:p w14:paraId="20CD76F3" w14:textId="3CAAC59D" w:rsidR="0098385D" w:rsidRPr="00BB7292" w:rsidRDefault="00BB7292" w:rsidP="00BB7292">
      <w:pPr>
        <w:rPr>
          <w:rFonts w:eastAsia="Aptos"/>
          <w:lang w:val="en-US"/>
        </w:rPr>
      </w:pPr>
      <w:r w:rsidRPr="0025713C">
        <w:rPr>
          <w:rFonts w:eastAsia="Aptos"/>
        </w:rPr>
        <w:t xml:space="preserve">- Identificação ações de melhoria / Novas </w:t>
      </w:r>
      <w:proofErr w:type="spellStart"/>
      <w:r w:rsidRPr="0025713C">
        <w:rPr>
          <w:rFonts w:eastAsia="Aptos"/>
        </w:rPr>
        <w:t>RADs</w:t>
      </w:r>
      <w:proofErr w:type="spellEnd"/>
    </w:p>
    <w:p w14:paraId="0558FE3B" w14:textId="77777777" w:rsidR="0098385D" w:rsidRDefault="0098385D" w:rsidP="0098385D">
      <w:pPr>
        <w:ind w:firstLine="708"/>
        <w:rPr>
          <w:rFonts w:ascii="Aptos" w:eastAsia="Aptos" w:hAnsi="Aptos" w:cs="Aptos"/>
          <w:b/>
          <w:bCs/>
          <w:color w:val="000000" w:themeColor="text1"/>
          <w:sz w:val="24"/>
          <w:szCs w:val="24"/>
        </w:rPr>
      </w:pPr>
    </w:p>
    <w:p w14:paraId="421DC884" w14:textId="30067D85" w:rsidR="0098385D" w:rsidRPr="000E615C" w:rsidRDefault="0098385D" w:rsidP="00DC5FC0">
      <w:pPr>
        <w:pStyle w:val="Ttulo1"/>
      </w:pPr>
      <w:bookmarkStart w:id="78" w:name="_Toc1924279006"/>
      <w:bookmarkStart w:id="79" w:name="_Toc166579502"/>
      <w:r w:rsidRPr="000E615C">
        <w:t>7. Infraestrutura e Segurança da Informação</w:t>
      </w:r>
      <w:bookmarkEnd w:id="78"/>
      <w:bookmarkEnd w:id="79"/>
    </w:p>
    <w:p w14:paraId="5AC2E73C" w14:textId="6EDDEA1F" w:rsidR="00F82DD8" w:rsidRPr="00F82DD8" w:rsidRDefault="0098385D" w:rsidP="00DC5FC0">
      <w:pPr>
        <w:pStyle w:val="Ttulo2"/>
        <w:rPr>
          <w:rFonts w:eastAsia="Aptos"/>
          <w:lang w:val="en-US"/>
        </w:rPr>
      </w:pPr>
      <w:bookmarkStart w:id="80" w:name="_Toc166579503"/>
      <w:r w:rsidRPr="00F82DD8">
        <w:t xml:space="preserve">7.1 </w:t>
      </w:r>
      <w:r w:rsidRPr="00F82DD8">
        <w:rPr>
          <w:rFonts w:eastAsia="Aptos"/>
        </w:rPr>
        <w:t>Aquisição de Nuvem em contrato Multinuvem</w:t>
      </w:r>
      <w:bookmarkEnd w:id="80"/>
      <w:r w:rsidRPr="00F82DD8">
        <w:rPr>
          <w:rFonts w:eastAsia="Aptos"/>
        </w:rPr>
        <w:t xml:space="preserve"> </w:t>
      </w:r>
    </w:p>
    <w:p w14:paraId="1D170ECD" w14:textId="75F2AD91" w:rsidR="00DC5FC0" w:rsidRDefault="00DC5FC0" w:rsidP="00DC5FC0">
      <w:proofErr w:type="spellStart"/>
      <w:r>
        <w:t>xxxx</w:t>
      </w:r>
      <w:proofErr w:type="spellEnd"/>
    </w:p>
    <w:p w14:paraId="1CFB6298" w14:textId="33C80FE8" w:rsidR="0098385D" w:rsidRDefault="0098385D" w:rsidP="00DC5FC0">
      <w:pPr>
        <w:pStyle w:val="Ttulo2"/>
        <w:rPr>
          <w:rFonts w:eastAsia="Aptos"/>
          <w:lang w:val="en-US"/>
        </w:rPr>
      </w:pPr>
      <w:bookmarkStart w:id="81" w:name="_Toc166579504"/>
      <w:r w:rsidRPr="00F82DD8">
        <w:t xml:space="preserve">7.2 </w:t>
      </w:r>
      <w:proofErr w:type="spellStart"/>
      <w:r w:rsidRPr="00F82DD8">
        <w:rPr>
          <w:rFonts w:eastAsia="Aptos"/>
          <w:lang w:val="en-US"/>
        </w:rPr>
        <w:t>Segurança</w:t>
      </w:r>
      <w:proofErr w:type="spellEnd"/>
      <w:r w:rsidRPr="00F82DD8">
        <w:rPr>
          <w:rFonts w:eastAsia="Aptos"/>
          <w:lang w:val="en-US"/>
        </w:rPr>
        <w:t xml:space="preserve"> da Informação</w:t>
      </w:r>
      <w:bookmarkEnd w:id="81"/>
    </w:p>
    <w:p w14:paraId="358CC275" w14:textId="078FD416" w:rsidR="00DC5FC0" w:rsidRPr="00DC5FC0" w:rsidRDefault="00DC5FC0" w:rsidP="00DC5FC0">
      <w:p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</w:p>
    <w:p w14:paraId="73023330" w14:textId="77777777" w:rsidR="0098385D" w:rsidRPr="000E615C" w:rsidRDefault="0098385D" w:rsidP="00DC5FC0">
      <w:pPr>
        <w:pStyle w:val="Ttulo1"/>
      </w:pPr>
      <w:bookmarkStart w:id="82" w:name="_Toc1771962466"/>
      <w:bookmarkStart w:id="83" w:name="_Toc166579505"/>
      <w:r w:rsidRPr="000E615C">
        <w:t>8. Sistemas e Aplicações Institucionais</w:t>
      </w:r>
      <w:bookmarkEnd w:id="82"/>
      <w:bookmarkEnd w:id="83"/>
    </w:p>
    <w:p w14:paraId="3672ADB4" w14:textId="55E8A9E4" w:rsidR="0098385D" w:rsidRPr="00F82DD8" w:rsidRDefault="0098385D" w:rsidP="00DC5FC0">
      <w:pPr>
        <w:pStyle w:val="Ttulo2"/>
        <w:rPr>
          <w:rFonts w:eastAsia="Aptos"/>
          <w:lang w:val="en-US"/>
        </w:rPr>
      </w:pPr>
      <w:bookmarkStart w:id="84" w:name="_Toc166579506"/>
      <w:r w:rsidRPr="00F82DD8">
        <w:t xml:space="preserve">8.1 </w:t>
      </w:r>
      <w:r w:rsidRPr="00F82DD8">
        <w:rPr>
          <w:rFonts w:eastAsia="Aptos"/>
        </w:rPr>
        <w:t>- E-proc:</w:t>
      </w:r>
      <w:bookmarkEnd w:id="84"/>
      <w:r w:rsidRPr="00F82DD8">
        <w:rPr>
          <w:rFonts w:eastAsia="Aptos"/>
        </w:rPr>
        <w:t xml:space="preserve"> </w:t>
      </w:r>
    </w:p>
    <w:p w14:paraId="687E9034" w14:textId="712E4D06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</w:rPr>
        <w:t>xxxx</w:t>
      </w:r>
      <w:proofErr w:type="spellEnd"/>
    </w:p>
    <w:p w14:paraId="5A6F1579" w14:textId="2A0ADDA6" w:rsidR="0098385D" w:rsidRDefault="0098385D" w:rsidP="00DC5FC0">
      <w:pPr>
        <w:pStyle w:val="Ttulo2"/>
      </w:pPr>
      <w:bookmarkStart w:id="85" w:name="_Toc166579507"/>
      <w:r w:rsidRPr="00F82DD8">
        <w:t xml:space="preserve">8.2 Evolução contínua de </w:t>
      </w:r>
      <w:proofErr w:type="spellStart"/>
      <w:r w:rsidRPr="00F82DD8">
        <w:t>PJe</w:t>
      </w:r>
      <w:proofErr w:type="spellEnd"/>
      <w:r w:rsidRPr="00F82DD8">
        <w:t xml:space="preserve"> e EJUD</w:t>
      </w:r>
      <w:bookmarkEnd w:id="85"/>
    </w:p>
    <w:p w14:paraId="7DE5E7A4" w14:textId="184DC815" w:rsidR="00DC5FC0" w:rsidRPr="00DC5FC0" w:rsidRDefault="00DC5FC0" w:rsidP="00DC5FC0">
      <w:proofErr w:type="spellStart"/>
      <w:r>
        <w:t>xxxx</w:t>
      </w:r>
      <w:proofErr w:type="spellEnd"/>
    </w:p>
    <w:p w14:paraId="51528550" w14:textId="77777777" w:rsidR="00E000E9" w:rsidRPr="00F82DD8" w:rsidRDefault="0098385D" w:rsidP="00DC5FC0">
      <w:pPr>
        <w:pStyle w:val="Ttulo2"/>
      </w:pPr>
      <w:bookmarkStart w:id="86" w:name="_Toc166579508"/>
      <w:r w:rsidRPr="00F82DD8">
        <w:t>8.3 GPES</w:t>
      </w:r>
      <w:bookmarkEnd w:id="86"/>
      <w:r w:rsidRPr="00F82DD8">
        <w:t xml:space="preserve"> </w:t>
      </w:r>
    </w:p>
    <w:p w14:paraId="7297A316" w14:textId="751DFAC5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  <w:lang w:val="en-US"/>
        </w:rPr>
        <w:t>xxxx</w:t>
      </w:r>
      <w:proofErr w:type="spellEnd"/>
    </w:p>
    <w:p w14:paraId="1FE339AC" w14:textId="77777777" w:rsidR="00E000E9" w:rsidRPr="00F82DD8" w:rsidRDefault="0098385D" w:rsidP="00DC5FC0">
      <w:pPr>
        <w:pStyle w:val="Ttulo2"/>
      </w:pPr>
      <w:bookmarkStart w:id="87" w:name="_Toc166579509"/>
      <w:r w:rsidRPr="00F82DD8">
        <w:lastRenderedPageBreak/>
        <w:t>8.4 Contratação Analista de requisitos:</w:t>
      </w:r>
      <w:bookmarkEnd w:id="87"/>
      <w:r w:rsidRPr="00F82DD8">
        <w:t xml:space="preserve"> </w:t>
      </w:r>
    </w:p>
    <w:p w14:paraId="66D6BC5B" w14:textId="76E0D23A" w:rsidR="0098385D" w:rsidRPr="00DC5FC0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</w:rPr>
        <w:t>xxxx</w:t>
      </w:r>
      <w:proofErr w:type="spellEnd"/>
    </w:p>
    <w:p w14:paraId="2F19D23E" w14:textId="61691D31" w:rsidR="00DC5FC0" w:rsidRPr="00426084" w:rsidRDefault="0098385D" w:rsidP="00426084">
      <w:pPr>
        <w:pStyle w:val="Ttulo1"/>
      </w:pPr>
      <w:bookmarkStart w:id="88" w:name="_Toc1433458162"/>
      <w:bookmarkStart w:id="89" w:name="_Toc166579510"/>
      <w:r w:rsidRPr="000E615C">
        <w:t>9. Atendimento, Suporte ao Usuário e Virtualização do Trabalho</w:t>
      </w:r>
      <w:bookmarkEnd w:id="88"/>
      <w:bookmarkEnd w:id="89"/>
    </w:p>
    <w:p w14:paraId="71AC8268" w14:textId="3D0EE83D" w:rsidR="0098385D" w:rsidRDefault="0098385D" w:rsidP="00DC5FC0">
      <w:pPr>
        <w:pStyle w:val="Ttulo2"/>
        <w:rPr>
          <w:rFonts w:eastAsia="Aptos"/>
          <w:lang w:val="en-US"/>
        </w:rPr>
      </w:pPr>
      <w:bookmarkStart w:id="90" w:name="_Toc166579511"/>
      <w:r w:rsidRPr="00F82DD8">
        <w:t xml:space="preserve">9.1 </w:t>
      </w:r>
      <w:r w:rsidRPr="00F82DD8">
        <w:rPr>
          <w:rFonts w:eastAsia="Aptos"/>
          <w:lang w:val="en-US"/>
        </w:rPr>
        <w:t xml:space="preserve">Renovação do quadro de suporte N1, N2 e N3 com nova contratação (Suporte </w:t>
      </w:r>
      <w:proofErr w:type="spellStart"/>
      <w:r w:rsidRPr="00F82DD8">
        <w:rPr>
          <w:rFonts w:eastAsia="Aptos"/>
          <w:lang w:val="en-US"/>
        </w:rPr>
        <w:t>Multinível</w:t>
      </w:r>
      <w:proofErr w:type="spellEnd"/>
      <w:r w:rsidRPr="00F82DD8">
        <w:rPr>
          <w:rFonts w:eastAsia="Aptos"/>
          <w:lang w:val="en-US"/>
        </w:rPr>
        <w:t>).</w:t>
      </w:r>
      <w:bookmarkEnd w:id="90"/>
    </w:p>
    <w:p w14:paraId="7FF0446C" w14:textId="62BC33D6" w:rsidR="00DC5FC0" w:rsidRPr="00DC5FC0" w:rsidRDefault="00DC5FC0" w:rsidP="00DC5FC0">
      <w:p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</w:p>
    <w:p w14:paraId="0213D3E2" w14:textId="09BF011F" w:rsidR="0098385D" w:rsidRPr="00F82DD8" w:rsidRDefault="0098385D" w:rsidP="00DC5FC0">
      <w:pPr>
        <w:pStyle w:val="Ttulo2"/>
        <w:rPr>
          <w:rFonts w:eastAsia="Aptos"/>
          <w:lang w:val="en-US"/>
        </w:rPr>
      </w:pPr>
      <w:bookmarkStart w:id="91" w:name="_Toc166579512"/>
      <w:r w:rsidRPr="00F82DD8">
        <w:t xml:space="preserve">9.2 </w:t>
      </w:r>
      <w:r w:rsidRPr="00F82DD8">
        <w:rPr>
          <w:rFonts w:eastAsia="Aptos"/>
          <w:lang w:val="en-US"/>
        </w:rPr>
        <w:t>Renovação do hardware de trabalho operacional</w:t>
      </w:r>
      <w:bookmarkEnd w:id="91"/>
    </w:p>
    <w:p w14:paraId="4DB44191" w14:textId="2276A7C5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  <w:lang w:val="en-US"/>
        </w:rPr>
        <w:t>xxxx</w:t>
      </w:r>
      <w:proofErr w:type="spellEnd"/>
    </w:p>
    <w:p w14:paraId="174447EC" w14:textId="1205685C" w:rsidR="0098385D" w:rsidRPr="00F82DD8" w:rsidRDefault="0098385D" w:rsidP="00DC5FC0">
      <w:pPr>
        <w:pStyle w:val="Ttulo2"/>
        <w:rPr>
          <w:rFonts w:eastAsia="Aptos"/>
          <w:lang w:val="en-US"/>
        </w:rPr>
      </w:pPr>
      <w:bookmarkStart w:id="92" w:name="_Toc166579513"/>
      <w:r w:rsidRPr="00F82DD8">
        <w:t xml:space="preserve">9.3 </w:t>
      </w:r>
      <w:r w:rsidRPr="00F82DD8">
        <w:rPr>
          <w:rFonts w:eastAsia="Aptos"/>
        </w:rPr>
        <w:t>Automação de rotinas de atendimento com o avanço da Observabilidade:</w:t>
      </w:r>
      <w:bookmarkEnd w:id="92"/>
      <w:r w:rsidRPr="00F82DD8">
        <w:rPr>
          <w:rFonts w:eastAsia="Aptos"/>
        </w:rPr>
        <w:t xml:space="preserve"> </w:t>
      </w:r>
    </w:p>
    <w:p w14:paraId="3187F6F6" w14:textId="7CCAB77F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</w:rPr>
        <w:t>xxxx</w:t>
      </w:r>
      <w:proofErr w:type="spellEnd"/>
    </w:p>
    <w:p w14:paraId="481A071F" w14:textId="77777777" w:rsidR="0098385D" w:rsidRDefault="0098385D" w:rsidP="0098385D"/>
    <w:p w14:paraId="298FFC3E" w14:textId="77777777" w:rsidR="0098385D" w:rsidRPr="00F82DD8" w:rsidRDefault="0098385D" w:rsidP="00DC5FC0">
      <w:pPr>
        <w:pStyle w:val="Ttulo1"/>
      </w:pPr>
      <w:bookmarkStart w:id="93" w:name="_Toc1485609862"/>
      <w:bookmarkStart w:id="94" w:name="_Toc166579514"/>
      <w:r w:rsidRPr="000E615C">
        <w:t>10. Inteligência Artificial</w:t>
      </w:r>
      <w:bookmarkEnd w:id="93"/>
      <w:bookmarkEnd w:id="94"/>
    </w:p>
    <w:p w14:paraId="1A66DB4E" w14:textId="77777777" w:rsidR="00E000E9" w:rsidRPr="00DC5FC0" w:rsidRDefault="0098385D" w:rsidP="00DC5FC0">
      <w:pPr>
        <w:pStyle w:val="Ttulo2"/>
      </w:pPr>
      <w:bookmarkStart w:id="95" w:name="_Toc166579515"/>
      <w:r w:rsidRPr="00DC5FC0">
        <w:t>10.1 Assistente IA (GPTJ) 1ª Instância</w:t>
      </w:r>
      <w:bookmarkEnd w:id="95"/>
      <w:r w:rsidRPr="00DC5FC0">
        <w:t xml:space="preserve"> </w:t>
      </w:r>
    </w:p>
    <w:p w14:paraId="13CC910C" w14:textId="043EB304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  <w:lang w:val="en-US"/>
        </w:rPr>
        <w:t>xxxx</w:t>
      </w:r>
      <w:proofErr w:type="spellEnd"/>
    </w:p>
    <w:p w14:paraId="595056E9" w14:textId="77777777" w:rsidR="00E000E9" w:rsidRPr="00DC5FC0" w:rsidRDefault="0098385D" w:rsidP="00DC5FC0">
      <w:pPr>
        <w:pStyle w:val="Ttulo2"/>
      </w:pPr>
      <w:bookmarkStart w:id="96" w:name="_Toc166579516"/>
      <w:r w:rsidRPr="00DC5FC0">
        <w:t>10.2 Assistente IA 2ª Instância</w:t>
      </w:r>
      <w:bookmarkEnd w:id="96"/>
      <w:r w:rsidRPr="00DC5FC0">
        <w:t xml:space="preserve"> </w:t>
      </w:r>
    </w:p>
    <w:p w14:paraId="29E52784" w14:textId="21B334C3" w:rsidR="0098385D" w:rsidRPr="00F82DD8" w:rsidRDefault="00DC5FC0" w:rsidP="00DC5FC0">
      <w:pPr>
        <w:rPr>
          <w:rFonts w:eastAsia="Aptos"/>
          <w:lang w:val="en-US"/>
        </w:rPr>
      </w:pPr>
      <w:proofErr w:type="spellStart"/>
      <w:r>
        <w:rPr>
          <w:rFonts w:eastAsia="Aptos"/>
          <w:lang w:val="en-US"/>
        </w:rPr>
        <w:t>xxxx</w:t>
      </w:r>
      <w:proofErr w:type="spellEnd"/>
    </w:p>
    <w:p w14:paraId="5729C898" w14:textId="77777777" w:rsidR="0098385D" w:rsidRDefault="0098385D" w:rsidP="0098385D"/>
    <w:p w14:paraId="790160A8" w14:textId="77777777" w:rsidR="0098385D" w:rsidRPr="000E615C" w:rsidRDefault="0098385D" w:rsidP="00DC5FC0">
      <w:pPr>
        <w:pStyle w:val="Ttulo1"/>
      </w:pPr>
      <w:bookmarkStart w:id="97" w:name="_Toc670989255"/>
      <w:bookmarkStart w:id="98" w:name="_Toc166579517"/>
      <w:r w:rsidRPr="000E615C">
        <w:t>11. Outras realizações na área de Tecnologia da Informação</w:t>
      </w:r>
      <w:bookmarkEnd w:id="97"/>
      <w:bookmarkEnd w:id="98"/>
    </w:p>
    <w:p w14:paraId="44E60D62" w14:textId="72FBD0EA" w:rsidR="0098385D" w:rsidRDefault="0098385D" w:rsidP="00DC5FC0">
      <w:pPr>
        <w:pStyle w:val="Ttulo2"/>
      </w:pPr>
      <w:bookmarkStart w:id="99" w:name="_Toc166579518"/>
      <w:r w:rsidRPr="00DC5FC0">
        <w:t xml:space="preserve">11.1 Outros </w:t>
      </w:r>
      <w:proofErr w:type="spellStart"/>
      <w:r w:rsidRPr="00DC5FC0">
        <w:t>achievements</w:t>
      </w:r>
      <w:proofErr w:type="spellEnd"/>
      <w:r w:rsidRPr="00DC5FC0">
        <w:t xml:space="preserve"> que acharmos relevantes, em especial o que se relaciona com indicadores.</w:t>
      </w:r>
      <w:bookmarkEnd w:id="99"/>
    </w:p>
    <w:p w14:paraId="3A556C3F" w14:textId="61130792" w:rsidR="00AE4DC5" w:rsidRPr="000E615C" w:rsidRDefault="00DC5FC0" w:rsidP="00AE4DC5">
      <w:proofErr w:type="spellStart"/>
      <w:r>
        <w:t>xxxx</w:t>
      </w:r>
      <w:proofErr w:type="spellEnd"/>
    </w:p>
    <w:p w14:paraId="7A267FC1" w14:textId="77777777" w:rsidR="00AE4DC5" w:rsidRDefault="00AE4DC5" w:rsidP="00AE4DC5"/>
    <w:p w14:paraId="2BB968D2" w14:textId="77777777" w:rsidR="00BC602D" w:rsidRDefault="00BC602D" w:rsidP="00685FA1">
      <w:pPr>
        <w:spacing w:after="0" w:line="240" w:lineRule="auto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rPr>
          <w:color w:val="0000FF"/>
          <w:sz w:val="24"/>
          <w:szCs w:val="24"/>
        </w:rPr>
        <w:sectPr w:rsidR="00BC602D" w:rsidSect="00737445">
          <w:headerReference w:type="default" r:id="rId39"/>
          <w:footerReference w:type="default" r:id="rId40"/>
          <w:footerReference w:type="first" r:id="rId41"/>
          <w:pgSz w:w="11906" w:h="16838"/>
          <w:pgMar w:top="0" w:right="424" w:bottom="1276" w:left="1134" w:header="709" w:footer="142" w:gutter="0"/>
          <w:cols w:space="708"/>
          <w:docGrid w:linePitch="360"/>
        </w:sectPr>
      </w:pPr>
    </w:p>
    <w:p w14:paraId="376C80DD" w14:textId="5F35C1B9" w:rsidR="008A7EAA" w:rsidRPr="00DC5FC0" w:rsidRDefault="00DC5FC0" w:rsidP="00DC5FC0">
      <w:pPr>
        <w:pStyle w:val="Ttulo1"/>
      </w:pPr>
      <w:bookmarkStart w:id="100" w:name="_Toc166579519"/>
      <w:r w:rsidRPr="00DC5FC0">
        <w:lastRenderedPageBreak/>
        <w:t>12</w:t>
      </w:r>
      <w:r w:rsidR="008A7EAA" w:rsidRPr="00DC5FC0">
        <w:t>. PLANILHAS DE INDICADORES</w:t>
      </w:r>
      <w:r w:rsidR="00606782" w:rsidRPr="00DC5FC0">
        <w:t xml:space="preserve"> </w:t>
      </w:r>
      <w:r w:rsidR="009231FF" w:rsidRPr="00DC5FC0">
        <w:t>–</w:t>
      </w:r>
      <w:r w:rsidR="00606782" w:rsidRPr="00DC5FC0">
        <w:t xml:space="preserve"> ESTRATÉGICOS</w:t>
      </w:r>
      <w:r w:rsidR="009231FF" w:rsidRPr="00DC5FC0">
        <w:t>,</w:t>
      </w:r>
      <w:r w:rsidR="00606782" w:rsidRPr="00DC5FC0">
        <w:t xml:space="preserve"> GERENCIAIS E OPERACIONAIS</w:t>
      </w:r>
      <w:bookmarkEnd w:id="100"/>
    </w:p>
    <w:p w14:paraId="12A08AD1" w14:textId="26B4D91C" w:rsidR="0002787A" w:rsidRDefault="0002787A" w:rsidP="00470E9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  <w:lang w:eastAsia="pt-BR"/>
        </w:rPr>
        <w:drawing>
          <wp:inline distT="0" distB="0" distL="0" distR="0" wp14:anchorId="69EE5CDE" wp14:editId="2F97D539">
            <wp:extent cx="7212899" cy="4452730"/>
            <wp:effectExtent l="0" t="0" r="762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84" cy="44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43"/>
      <w:footerReference w:type="default" r:id="rId44"/>
      <w:headerReference w:type="first" r:id="rId45"/>
      <w:footerReference w:type="first" r:id="rId46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D323" w14:textId="77777777" w:rsidR="00BB7292" w:rsidRDefault="00BB7292" w:rsidP="004E51B2">
      <w:pPr>
        <w:spacing w:after="0" w:line="240" w:lineRule="auto"/>
      </w:pPr>
      <w:r>
        <w:separator/>
      </w:r>
    </w:p>
  </w:endnote>
  <w:endnote w:type="continuationSeparator" w:id="0">
    <w:p w14:paraId="0EE7E004" w14:textId="77777777" w:rsidR="00BB7292" w:rsidRDefault="00BB7292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BB7292" w:rsidRPr="004E51B2" w14:paraId="791D2019" w14:textId="77777777" w:rsidTr="00120D5A">
      <w:trPr>
        <w:trHeight w:val="516"/>
        <w:jc w:val="center"/>
      </w:trPr>
      <w:tc>
        <w:tcPr>
          <w:tcW w:w="3035" w:type="dxa"/>
        </w:tcPr>
        <w:p w14:paraId="3A130403" w14:textId="1DC4D6EE" w:rsidR="00BB7292" w:rsidRPr="004E51B2" w:rsidRDefault="00BB7292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SGTEC</w:t>
          </w:r>
        </w:p>
      </w:tc>
      <w:tc>
        <w:tcPr>
          <w:tcW w:w="2189" w:type="dxa"/>
        </w:tcPr>
        <w:p w14:paraId="068DAB6E" w14:textId="77777777" w:rsidR="00BB7292" w:rsidRPr="00E10DF6" w:rsidRDefault="00BB7292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BB7292" w:rsidRDefault="00BB7292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BB7292" w:rsidRDefault="00BB7292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5E26F333" w:rsidR="00BB7292" w:rsidRPr="004E51B2" w:rsidRDefault="00BB7292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5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BB7292" w:rsidRPr="00727710" w:rsidRDefault="00BB7292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BB7292" w:rsidRPr="004E51B2" w14:paraId="710CF06A" w14:textId="77777777" w:rsidTr="00120D5A">
      <w:trPr>
        <w:trHeight w:val="516"/>
        <w:jc w:val="center"/>
      </w:trPr>
      <w:tc>
        <w:tcPr>
          <w:tcW w:w="4536" w:type="dxa"/>
        </w:tcPr>
        <w:p w14:paraId="0FF67DDC" w14:textId="77777777" w:rsidR="00BB7292" w:rsidRPr="004E51B2" w:rsidRDefault="00BB7292" w:rsidP="00641ADB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SGTEC</w:t>
          </w:r>
        </w:p>
      </w:tc>
      <w:tc>
        <w:tcPr>
          <w:tcW w:w="2189" w:type="dxa"/>
        </w:tcPr>
        <w:p w14:paraId="7E471897" w14:textId="77777777" w:rsidR="00BB7292" w:rsidRPr="00E10DF6" w:rsidRDefault="00BB7292" w:rsidP="00641ADB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887577D" w14:textId="77777777" w:rsidR="00BB7292" w:rsidRDefault="00BB7292" w:rsidP="00641ADB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4B3408FD" w14:textId="77777777" w:rsidR="00BB7292" w:rsidRDefault="00BB7292" w:rsidP="00641ADB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26499CB1" w14:textId="58C811F9" w:rsidR="00BB7292" w:rsidRPr="004E51B2" w:rsidRDefault="00BB7292" w:rsidP="00641ADB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6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F7D642B" w14:textId="77777777" w:rsidR="00BB7292" w:rsidRPr="00727710" w:rsidRDefault="00BB7292" w:rsidP="007277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BB7292" w:rsidRPr="004E51B2" w14:paraId="5430ADC7" w14:textId="77777777" w:rsidTr="00120D5A">
      <w:trPr>
        <w:trHeight w:val="516"/>
        <w:jc w:val="center"/>
      </w:trPr>
      <w:tc>
        <w:tcPr>
          <w:tcW w:w="3035" w:type="dxa"/>
        </w:tcPr>
        <w:p w14:paraId="3BB49446" w14:textId="77777777" w:rsidR="00BB7292" w:rsidRPr="004E51B2" w:rsidRDefault="00BB7292" w:rsidP="002B5FF4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SGTEC</w:t>
          </w:r>
        </w:p>
      </w:tc>
      <w:tc>
        <w:tcPr>
          <w:tcW w:w="2189" w:type="dxa"/>
        </w:tcPr>
        <w:p w14:paraId="19A90ED5" w14:textId="77777777" w:rsidR="00BB7292" w:rsidRPr="00E10DF6" w:rsidRDefault="00BB7292" w:rsidP="002B5FF4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5AACD36" w14:textId="77777777" w:rsidR="00BB7292" w:rsidRDefault="00BB7292" w:rsidP="002B5FF4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48F3D34" w14:textId="77777777" w:rsidR="00BB7292" w:rsidRDefault="00BB7292" w:rsidP="002B5FF4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062BAA4B" w14:textId="664540DF" w:rsidR="00BB7292" w:rsidRPr="004E51B2" w:rsidRDefault="00BB7292" w:rsidP="002B5FF4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14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71FBF16E" w14:textId="77777777" w:rsidR="00BB7292" w:rsidRPr="00727710" w:rsidRDefault="00BB7292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BB7292" w:rsidRPr="004E51B2" w14:paraId="5A36CCE3" w14:textId="77777777" w:rsidTr="00120D5A">
      <w:trPr>
        <w:trHeight w:val="516"/>
        <w:jc w:val="center"/>
      </w:trPr>
      <w:tc>
        <w:tcPr>
          <w:tcW w:w="3035" w:type="dxa"/>
        </w:tcPr>
        <w:p w14:paraId="0BB42A08" w14:textId="77777777" w:rsidR="00BB7292" w:rsidRPr="004E51B2" w:rsidRDefault="00BB7292" w:rsidP="00641ADB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SGTEC</w:t>
          </w:r>
        </w:p>
      </w:tc>
      <w:tc>
        <w:tcPr>
          <w:tcW w:w="2189" w:type="dxa"/>
        </w:tcPr>
        <w:p w14:paraId="19BD2490" w14:textId="77777777" w:rsidR="00BB7292" w:rsidRPr="00E10DF6" w:rsidRDefault="00BB7292" w:rsidP="00641ADB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8306FDF" w14:textId="77777777" w:rsidR="00BB7292" w:rsidRDefault="00BB7292" w:rsidP="00641ADB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45408365" w14:textId="77777777" w:rsidR="00BB7292" w:rsidRDefault="00BB7292" w:rsidP="00641ADB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56FD9B2C" w14:textId="77777777" w:rsidR="00BB7292" w:rsidRPr="004E51B2" w:rsidRDefault="00BB7292" w:rsidP="00641ADB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7D995A30" w14:textId="77777777" w:rsidR="00BB7292" w:rsidRDefault="00BB7292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BB7292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57278B72" w:rsidR="00BB7292" w:rsidRPr="004E51B2" w:rsidRDefault="00BB7292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SGTEC</w:t>
          </w:r>
        </w:p>
      </w:tc>
      <w:tc>
        <w:tcPr>
          <w:tcW w:w="2189" w:type="dxa"/>
        </w:tcPr>
        <w:p w14:paraId="2BFB049D" w14:textId="77777777" w:rsidR="00BB7292" w:rsidRPr="00E10DF6" w:rsidRDefault="00BB7292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BB7292" w:rsidRDefault="00BB7292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BB7292" w:rsidRDefault="00BB7292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75745899" w:rsidR="00BB7292" w:rsidRPr="004E51B2" w:rsidRDefault="00BB7292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36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BB7292" w:rsidRPr="00727710" w:rsidRDefault="00BB7292" w:rsidP="00727710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BB7292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BB7292" w:rsidRPr="004E51B2" w:rsidRDefault="00BB7292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BB7292" w:rsidRPr="00E10DF6" w:rsidRDefault="00BB7292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BB7292" w:rsidRDefault="00BB7292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BB7292" w:rsidRDefault="00BB7292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BB7292" w:rsidRPr="004E51B2" w:rsidRDefault="00BB7292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BB7292" w:rsidRDefault="00BB72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9354" w14:textId="77777777" w:rsidR="00BB7292" w:rsidRDefault="00BB7292" w:rsidP="004E51B2">
      <w:pPr>
        <w:spacing w:after="0" w:line="240" w:lineRule="auto"/>
      </w:pPr>
      <w:r>
        <w:separator/>
      </w:r>
    </w:p>
  </w:footnote>
  <w:footnote w:type="continuationSeparator" w:id="0">
    <w:p w14:paraId="648EC05B" w14:textId="77777777" w:rsidR="00BB7292" w:rsidRDefault="00BB7292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B271" w14:textId="102F883B" w:rsidR="00BB7292" w:rsidRDefault="00BB7292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BB7292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BB7292" w:rsidRPr="00484D5B" w:rsidRDefault="00BB7292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12" name="Imagem 12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BB7292" w:rsidRPr="00BF0025" w:rsidRDefault="00BB7292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7E0D00E9" w:rsidR="00BB7292" w:rsidRPr="00BF0025" w:rsidRDefault="00BB7292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846C5">
            <w:rPr>
              <w:rFonts w:cstheme="minorHAnsi"/>
              <w:b/>
              <w:bCs/>
              <w:caps/>
              <w:sz w:val="28"/>
              <w:szCs w:val="28"/>
            </w:rPr>
            <w:t>Secretaria Geral de Tecnologia da Informação (SGTEC)</w:t>
          </w:r>
        </w:p>
      </w:tc>
    </w:tr>
  </w:tbl>
  <w:p w14:paraId="342DD499" w14:textId="6204436C" w:rsidR="00BB7292" w:rsidRDefault="00BB7292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0" w:name="OLE_LINK1"/>
    <w:bookmarkStart w:id="1" w:name="OLE_LINK2"/>
    <w:bookmarkStart w:id="2" w:name="_Hlk247374218"/>
    <w:bookmarkStart w:id="3" w:name="OLE_LINK3"/>
    <w:bookmarkStart w:id="4" w:name="OLE_LINK4"/>
    <w:bookmarkStart w:id="5" w:name="_Hlk251335526"/>
    <w:bookmarkStart w:id="6" w:name="OLE_LINK5"/>
    <w:bookmarkStart w:id="7" w:name="OLE_LINK6"/>
    <w:bookmarkStart w:id="8" w:name="_Hlk253754814"/>
    <w:bookmarkStart w:id="9" w:name="OLE_LINK7"/>
    <w:bookmarkStart w:id="10" w:name="OLE_LINK8"/>
    <w:bookmarkStart w:id="11" w:name="_Hlk259205122"/>
    <w:bookmarkStart w:id="12" w:name="OLE_LINK9"/>
    <w:bookmarkStart w:id="13" w:name="OLE_LINK10"/>
    <w:bookmarkStart w:id="14" w:name="_Hlk274061428"/>
    <w:bookmarkStart w:id="15" w:name="OLE_LINK11"/>
    <w:bookmarkStart w:id="16" w:name="OLE_LINK12"/>
    <w:bookmarkStart w:id="17" w:name="_Hlk287627132"/>
    <w:bookmarkStart w:id="18" w:name="OLE_LINK13"/>
    <w:bookmarkStart w:id="19" w:name="OLE_LINK14"/>
    <w:bookmarkStart w:id="20" w:name="_Hlk295929801"/>
    <w:bookmarkStart w:id="21" w:name="OLE_LINK15"/>
    <w:bookmarkStart w:id="22" w:name="OLE_LINK16"/>
    <w:bookmarkStart w:id="23" w:name="_Hlk297741020"/>
    <w:bookmarkStart w:id="24" w:name="OLE_LINK17"/>
    <w:bookmarkStart w:id="25" w:name="OLE_LINK18"/>
    <w:bookmarkStart w:id="26" w:name="_Hlk297742013"/>
    <w:bookmarkStart w:id="27" w:name="OLE_LINK19"/>
    <w:bookmarkStart w:id="28" w:name="OLE_LINK20"/>
    <w:bookmarkStart w:id="29" w:name="_Hlk304892943"/>
    <w:bookmarkStart w:id="30" w:name="OLE_LINK21"/>
    <w:bookmarkStart w:id="31" w:name="OLE_LINK22"/>
    <w:bookmarkStart w:id="32" w:name="_Hlk304903772"/>
    <w:bookmarkStart w:id="33" w:name="OLE_LINK23"/>
    <w:bookmarkStart w:id="34" w:name="OLE_LINK24"/>
    <w:bookmarkStart w:id="35" w:name="_Hlk305586090"/>
    <w:bookmarkStart w:id="36" w:name="OLE_LINK25"/>
    <w:bookmarkStart w:id="37" w:name="OLE_LINK26"/>
    <w:bookmarkStart w:id="38" w:name="_Hlk306273909"/>
    <w:bookmarkStart w:id="39" w:name="OLE_LINK27"/>
    <w:bookmarkStart w:id="40" w:name="OLE_LINK28"/>
    <w:bookmarkStart w:id="41" w:name="_Hlk307846149"/>
    <w:bookmarkStart w:id="42" w:name="OLE_LINK29"/>
    <w:bookmarkStart w:id="43" w:name="OLE_LINK30"/>
    <w:bookmarkStart w:id="44" w:name="_Hlk309731046"/>
    <w:bookmarkStart w:id="45" w:name="OLE_LINK31"/>
    <w:bookmarkStart w:id="46" w:name="OLE_LINK32"/>
    <w:bookmarkStart w:id="47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14:paraId="6DF46C89" w14:textId="77777777" w:rsidR="00BB7292" w:rsidRPr="004E51B2" w:rsidRDefault="00BB7292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C66F" w14:textId="77777777" w:rsidR="00BB7292" w:rsidRDefault="00BB7292" w:rsidP="00641ADB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BB7292" w:rsidRPr="00484D5B" w14:paraId="58DA70B5" w14:textId="77777777" w:rsidTr="00120D5A">
      <w:trPr>
        <w:cantSplit/>
        <w:trHeight w:hRule="exact" w:val="1163"/>
      </w:trPr>
      <w:tc>
        <w:tcPr>
          <w:tcW w:w="1418" w:type="dxa"/>
          <w:vAlign w:val="center"/>
        </w:tcPr>
        <w:p w14:paraId="6B817DA4" w14:textId="77777777" w:rsidR="00BB7292" w:rsidRPr="00484D5B" w:rsidRDefault="00BB7292" w:rsidP="00641ADB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pict w14:anchorId="32B4ED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3.2pt;height:50.1pt">
                <v:imagedata r:id="rId1" r:href="rId2"/>
              </v:shape>
            </w:pict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61BDFD4E" w14:textId="77777777" w:rsidR="00BB7292" w:rsidRPr="00BF0025" w:rsidRDefault="00BB7292" w:rsidP="00641ADB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50AB7592" w14:textId="77777777" w:rsidR="00BB7292" w:rsidRPr="004E51B2" w:rsidRDefault="00BB7292" w:rsidP="00641ADB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CCA52E1" w14:textId="77777777" w:rsidR="00BB7292" w:rsidRPr="00BF0025" w:rsidRDefault="00BB7292" w:rsidP="00641ADB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846C5">
            <w:rPr>
              <w:rFonts w:cstheme="minorHAnsi"/>
              <w:b/>
              <w:bCs/>
              <w:caps/>
              <w:sz w:val="28"/>
              <w:szCs w:val="28"/>
            </w:rPr>
            <w:t>Secretaria Geral de Tecnologia da Informação (SGTEC)</w:t>
          </w:r>
        </w:p>
      </w:tc>
    </w:tr>
  </w:tbl>
  <w:p w14:paraId="4F22A9F8" w14:textId="77777777" w:rsidR="00BB7292" w:rsidRPr="004E51B2" w:rsidRDefault="00BB7292" w:rsidP="00641ADB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5E9320A2" w14:textId="77777777" w:rsidR="00BB7292" w:rsidRPr="004E51B2" w:rsidRDefault="00BB7292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AFF3" w14:textId="77777777" w:rsidR="00BB7292" w:rsidRDefault="00BB7292" w:rsidP="00641ADB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BB7292" w:rsidRPr="00484D5B" w14:paraId="20A28202" w14:textId="77777777" w:rsidTr="00120D5A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4D68D23F" w14:textId="77777777" w:rsidR="00BB7292" w:rsidRPr="00484D5B" w:rsidRDefault="00BB7292" w:rsidP="00641ADB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77D226DB" wp14:editId="5429A022">
                <wp:extent cx="593090" cy="617855"/>
                <wp:effectExtent l="0" t="0" r="0" b="0"/>
                <wp:docPr id="13" name="Imagem 13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495693FA" w14:textId="77777777" w:rsidR="00BB7292" w:rsidRPr="00BF0025" w:rsidRDefault="00BB7292" w:rsidP="00641ADB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977B68A" w14:textId="77777777" w:rsidR="00BB7292" w:rsidRPr="00BF0025" w:rsidRDefault="00BB7292" w:rsidP="00641ADB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846C5">
            <w:rPr>
              <w:rFonts w:cstheme="minorHAnsi"/>
              <w:b/>
              <w:bCs/>
              <w:caps/>
              <w:sz w:val="28"/>
              <w:szCs w:val="28"/>
            </w:rPr>
            <w:t>Secretaria Geral de Tecnologia da Informação (SGTEC)</w:t>
          </w:r>
        </w:p>
      </w:tc>
    </w:tr>
  </w:tbl>
  <w:p w14:paraId="15625135" w14:textId="77777777" w:rsidR="00BB7292" w:rsidRDefault="00BB7292" w:rsidP="00641ADB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40B11EDF" w14:textId="77777777" w:rsidR="00BB7292" w:rsidRDefault="00BB729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BE50" w14:textId="77777777" w:rsidR="00BB7292" w:rsidRDefault="00BB7292" w:rsidP="002B5FF4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BB7292" w:rsidRPr="00484D5B" w14:paraId="0045FBE5" w14:textId="77777777" w:rsidTr="00120D5A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5144B663" w14:textId="77777777" w:rsidR="00BB7292" w:rsidRPr="00484D5B" w:rsidRDefault="00BB7292" w:rsidP="002B5FF4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476189C8" wp14:editId="03EF921B">
                <wp:extent cx="593090" cy="617855"/>
                <wp:effectExtent l="0" t="0" r="0" b="0"/>
                <wp:docPr id="17" name="Imagem 17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5415DE10" w14:textId="77777777" w:rsidR="00BB7292" w:rsidRPr="00BF0025" w:rsidRDefault="00BB7292" w:rsidP="002B5FF4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65F4ED71" w14:textId="77777777" w:rsidR="00BB7292" w:rsidRPr="00BF0025" w:rsidRDefault="00BB7292" w:rsidP="002B5FF4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846C5">
            <w:rPr>
              <w:rFonts w:cstheme="minorHAnsi"/>
              <w:b/>
              <w:bCs/>
              <w:caps/>
              <w:sz w:val="28"/>
              <w:szCs w:val="28"/>
            </w:rPr>
            <w:t>Secretaria Geral de Tecnologia da Informação (SGTEC)</w:t>
          </w:r>
        </w:p>
      </w:tc>
    </w:tr>
  </w:tbl>
  <w:p w14:paraId="17DD2CA0" w14:textId="77777777" w:rsidR="00BB7292" w:rsidRDefault="00BB7292" w:rsidP="002B5FF4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4D3A22E5" w14:textId="77777777" w:rsidR="00BB7292" w:rsidRPr="004E51B2" w:rsidRDefault="00BB7292" w:rsidP="002B5FF4">
    <w:pPr>
      <w:pStyle w:val="Cabealho"/>
      <w:tabs>
        <w:tab w:val="left" w:pos="1985"/>
      </w:tabs>
      <w:rPr>
        <w:rFonts w:cs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77777777" w:rsidR="00BB7292" w:rsidRDefault="00BB7292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BB7292" w:rsidRPr="00484D5B" w14:paraId="2649A9F0" w14:textId="77777777" w:rsidTr="00120D5A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BB7292" w:rsidRPr="00484D5B" w:rsidRDefault="00BB7292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Descrição: Descrição: Descrição: Descrição: cid:image001.png@01CF0C7D.7E2E42C0" style="width:43.85pt;height:50.1pt">
                <v:imagedata r:id="rId2" r:href="rId1"/>
              </v:shape>
            </w:pict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BB7292" w:rsidRPr="00BF0025" w:rsidRDefault="00BB7292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BB7292" w:rsidRPr="004E51B2" w:rsidRDefault="00BB7292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3E3EC7E6" w:rsidR="00BB7292" w:rsidRPr="00BF0025" w:rsidRDefault="00BB7292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6846C5">
            <w:rPr>
              <w:rFonts w:cstheme="minorHAnsi"/>
              <w:b/>
              <w:bCs/>
              <w:caps/>
              <w:sz w:val="28"/>
              <w:szCs w:val="28"/>
            </w:rPr>
            <w:t>Secretaria Geral de Tecnologia da Informação (SGTEC)</w:t>
          </w:r>
        </w:p>
      </w:tc>
    </w:tr>
  </w:tbl>
  <w:p w14:paraId="730928FC" w14:textId="77777777" w:rsidR="00BB7292" w:rsidRPr="004E51B2" w:rsidRDefault="00BB7292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BB7292" w:rsidRPr="005663F3" w:rsidRDefault="00BB7292" w:rsidP="005663F3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380" w14:textId="6CC6B523" w:rsidR="00BB7292" w:rsidRPr="00E82FCC" w:rsidRDefault="00BB7292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30CFB"/>
    <w:multiLevelType w:val="hybridMultilevel"/>
    <w:tmpl w:val="731C5B98"/>
    <w:lvl w:ilvl="0" w:tplc="5574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66BC8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65D4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0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1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B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C0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4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EE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552F4"/>
    <w:multiLevelType w:val="hybridMultilevel"/>
    <w:tmpl w:val="58EE0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D0A57"/>
    <w:multiLevelType w:val="hybridMultilevel"/>
    <w:tmpl w:val="D8805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7304"/>
    <w:multiLevelType w:val="hybridMultilevel"/>
    <w:tmpl w:val="427AA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A3159"/>
    <w:multiLevelType w:val="hybridMultilevel"/>
    <w:tmpl w:val="DA7EA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6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8"/>
  </w:num>
  <w:num w:numId="5">
    <w:abstractNumId w:val="8"/>
  </w:num>
  <w:num w:numId="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2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26"/>
  </w:num>
  <w:num w:numId="18">
    <w:abstractNumId w:val="12"/>
  </w:num>
  <w:num w:numId="19">
    <w:abstractNumId w:val="14"/>
  </w:num>
  <w:num w:numId="20">
    <w:abstractNumId w:val="13"/>
  </w:num>
  <w:num w:numId="21">
    <w:abstractNumId w:val="23"/>
  </w:num>
  <w:num w:numId="22">
    <w:abstractNumId w:val="9"/>
  </w:num>
  <w:num w:numId="23">
    <w:abstractNumId w:val="24"/>
  </w:num>
  <w:num w:numId="24">
    <w:abstractNumId w:val="20"/>
  </w:num>
  <w:num w:numId="25">
    <w:abstractNumId w:val="19"/>
  </w:num>
  <w:num w:numId="26">
    <w:abstractNumId w:val="10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787A"/>
    <w:rsid w:val="00034BB6"/>
    <w:rsid w:val="0003675F"/>
    <w:rsid w:val="0005248F"/>
    <w:rsid w:val="00060663"/>
    <w:rsid w:val="000636E7"/>
    <w:rsid w:val="00063E02"/>
    <w:rsid w:val="00063E55"/>
    <w:rsid w:val="00064D9B"/>
    <w:rsid w:val="00075817"/>
    <w:rsid w:val="00080218"/>
    <w:rsid w:val="0008168F"/>
    <w:rsid w:val="0008390D"/>
    <w:rsid w:val="00090D04"/>
    <w:rsid w:val="000A72E6"/>
    <w:rsid w:val="000B729E"/>
    <w:rsid w:val="000C0B02"/>
    <w:rsid w:val="000C3EEF"/>
    <w:rsid w:val="000C497D"/>
    <w:rsid w:val="000C5C0E"/>
    <w:rsid w:val="000C6124"/>
    <w:rsid w:val="000D0F61"/>
    <w:rsid w:val="000D1D99"/>
    <w:rsid w:val="000D2898"/>
    <w:rsid w:val="000E03AE"/>
    <w:rsid w:val="000E2C08"/>
    <w:rsid w:val="000E3E91"/>
    <w:rsid w:val="000E598C"/>
    <w:rsid w:val="000E615C"/>
    <w:rsid w:val="000E6B3A"/>
    <w:rsid w:val="000F12B1"/>
    <w:rsid w:val="000F3B62"/>
    <w:rsid w:val="0010466F"/>
    <w:rsid w:val="0011008B"/>
    <w:rsid w:val="00112E51"/>
    <w:rsid w:val="001153DB"/>
    <w:rsid w:val="00120D5A"/>
    <w:rsid w:val="001269E5"/>
    <w:rsid w:val="0012716B"/>
    <w:rsid w:val="001273D2"/>
    <w:rsid w:val="00130E33"/>
    <w:rsid w:val="00131B31"/>
    <w:rsid w:val="00134C3C"/>
    <w:rsid w:val="00141834"/>
    <w:rsid w:val="00141BC1"/>
    <w:rsid w:val="00152727"/>
    <w:rsid w:val="00157252"/>
    <w:rsid w:val="001667EC"/>
    <w:rsid w:val="00170DC9"/>
    <w:rsid w:val="00187EC9"/>
    <w:rsid w:val="00192E4D"/>
    <w:rsid w:val="001B1A90"/>
    <w:rsid w:val="001B1C84"/>
    <w:rsid w:val="001B3F50"/>
    <w:rsid w:val="001B678F"/>
    <w:rsid w:val="001B7A8A"/>
    <w:rsid w:val="001C3ABD"/>
    <w:rsid w:val="001D38B7"/>
    <w:rsid w:val="001D60C5"/>
    <w:rsid w:val="001E7413"/>
    <w:rsid w:val="001F150B"/>
    <w:rsid w:val="001F4795"/>
    <w:rsid w:val="001F5B10"/>
    <w:rsid w:val="002117E2"/>
    <w:rsid w:val="002136E5"/>
    <w:rsid w:val="00213D5D"/>
    <w:rsid w:val="00231936"/>
    <w:rsid w:val="00232D22"/>
    <w:rsid w:val="0023532B"/>
    <w:rsid w:val="00235955"/>
    <w:rsid w:val="00240ACB"/>
    <w:rsid w:val="002458B9"/>
    <w:rsid w:val="002464D1"/>
    <w:rsid w:val="00252518"/>
    <w:rsid w:val="0025713C"/>
    <w:rsid w:val="00267652"/>
    <w:rsid w:val="002757DA"/>
    <w:rsid w:val="0028487C"/>
    <w:rsid w:val="00284970"/>
    <w:rsid w:val="00284F73"/>
    <w:rsid w:val="0028502B"/>
    <w:rsid w:val="00286F35"/>
    <w:rsid w:val="00294E80"/>
    <w:rsid w:val="0029594B"/>
    <w:rsid w:val="002B2578"/>
    <w:rsid w:val="002B5FF4"/>
    <w:rsid w:val="002C354A"/>
    <w:rsid w:val="002C35FE"/>
    <w:rsid w:val="002C7F19"/>
    <w:rsid w:val="002D17FE"/>
    <w:rsid w:val="002E0A83"/>
    <w:rsid w:val="002E1D90"/>
    <w:rsid w:val="002E2C99"/>
    <w:rsid w:val="002F6A37"/>
    <w:rsid w:val="00304118"/>
    <w:rsid w:val="00311101"/>
    <w:rsid w:val="00322163"/>
    <w:rsid w:val="00325521"/>
    <w:rsid w:val="0033131F"/>
    <w:rsid w:val="00331C41"/>
    <w:rsid w:val="00331D0B"/>
    <w:rsid w:val="003414F7"/>
    <w:rsid w:val="00346C40"/>
    <w:rsid w:val="00347CBF"/>
    <w:rsid w:val="003546AC"/>
    <w:rsid w:val="0037159B"/>
    <w:rsid w:val="0037482A"/>
    <w:rsid w:val="00384322"/>
    <w:rsid w:val="003876DA"/>
    <w:rsid w:val="00393DF4"/>
    <w:rsid w:val="003B0898"/>
    <w:rsid w:val="003B1AF8"/>
    <w:rsid w:val="003C3E8F"/>
    <w:rsid w:val="003D112E"/>
    <w:rsid w:val="003D1FEB"/>
    <w:rsid w:val="003D2906"/>
    <w:rsid w:val="003D4681"/>
    <w:rsid w:val="003F0EB9"/>
    <w:rsid w:val="003F1981"/>
    <w:rsid w:val="003F32CD"/>
    <w:rsid w:val="003F7505"/>
    <w:rsid w:val="00400921"/>
    <w:rsid w:val="00404E96"/>
    <w:rsid w:val="00407AE3"/>
    <w:rsid w:val="004105D4"/>
    <w:rsid w:val="00411088"/>
    <w:rsid w:val="00420ADB"/>
    <w:rsid w:val="00426084"/>
    <w:rsid w:val="004422FB"/>
    <w:rsid w:val="00442DF7"/>
    <w:rsid w:val="0045199F"/>
    <w:rsid w:val="00452860"/>
    <w:rsid w:val="004548DB"/>
    <w:rsid w:val="00454A21"/>
    <w:rsid w:val="00455FB0"/>
    <w:rsid w:val="00460DB7"/>
    <w:rsid w:val="00470E9B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A322C"/>
    <w:rsid w:val="004B128C"/>
    <w:rsid w:val="004C245B"/>
    <w:rsid w:val="004C69B3"/>
    <w:rsid w:val="004D280C"/>
    <w:rsid w:val="004E51B2"/>
    <w:rsid w:val="004E6325"/>
    <w:rsid w:val="004F2A57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201A5"/>
    <w:rsid w:val="00521547"/>
    <w:rsid w:val="00525C38"/>
    <w:rsid w:val="00537D4D"/>
    <w:rsid w:val="005509BF"/>
    <w:rsid w:val="00550F0E"/>
    <w:rsid w:val="0055181E"/>
    <w:rsid w:val="005532E3"/>
    <w:rsid w:val="005663F3"/>
    <w:rsid w:val="005704F3"/>
    <w:rsid w:val="005751F2"/>
    <w:rsid w:val="00576C95"/>
    <w:rsid w:val="00581818"/>
    <w:rsid w:val="00585360"/>
    <w:rsid w:val="00591E74"/>
    <w:rsid w:val="005B07B2"/>
    <w:rsid w:val="005B4FD9"/>
    <w:rsid w:val="005C0EBD"/>
    <w:rsid w:val="005C13E1"/>
    <w:rsid w:val="005C5434"/>
    <w:rsid w:val="005D0CEF"/>
    <w:rsid w:val="005D0EDF"/>
    <w:rsid w:val="005D2810"/>
    <w:rsid w:val="005D3B43"/>
    <w:rsid w:val="005D706E"/>
    <w:rsid w:val="005F5BFB"/>
    <w:rsid w:val="006002C6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41ADB"/>
    <w:rsid w:val="00643E85"/>
    <w:rsid w:val="00647816"/>
    <w:rsid w:val="00647FA4"/>
    <w:rsid w:val="00663961"/>
    <w:rsid w:val="006668AD"/>
    <w:rsid w:val="006765DB"/>
    <w:rsid w:val="006828B5"/>
    <w:rsid w:val="00682F90"/>
    <w:rsid w:val="006846C5"/>
    <w:rsid w:val="0068553D"/>
    <w:rsid w:val="00685BF5"/>
    <w:rsid w:val="00685FA1"/>
    <w:rsid w:val="00687E4E"/>
    <w:rsid w:val="00690D14"/>
    <w:rsid w:val="0069181A"/>
    <w:rsid w:val="006A270E"/>
    <w:rsid w:val="006B0F6E"/>
    <w:rsid w:val="006B398A"/>
    <w:rsid w:val="006B6736"/>
    <w:rsid w:val="006D1B99"/>
    <w:rsid w:val="006D2B33"/>
    <w:rsid w:val="006E2735"/>
    <w:rsid w:val="006E3117"/>
    <w:rsid w:val="006E4772"/>
    <w:rsid w:val="006E4C0D"/>
    <w:rsid w:val="006F012C"/>
    <w:rsid w:val="006F3E59"/>
    <w:rsid w:val="007016D9"/>
    <w:rsid w:val="007071E8"/>
    <w:rsid w:val="00713CCD"/>
    <w:rsid w:val="007142E4"/>
    <w:rsid w:val="00714703"/>
    <w:rsid w:val="007163C6"/>
    <w:rsid w:val="00717EA5"/>
    <w:rsid w:val="00727710"/>
    <w:rsid w:val="00737445"/>
    <w:rsid w:val="00737BE2"/>
    <w:rsid w:val="007503E2"/>
    <w:rsid w:val="007529CD"/>
    <w:rsid w:val="00753996"/>
    <w:rsid w:val="00760867"/>
    <w:rsid w:val="00760F27"/>
    <w:rsid w:val="00761E2C"/>
    <w:rsid w:val="0076207A"/>
    <w:rsid w:val="007639D2"/>
    <w:rsid w:val="00764C33"/>
    <w:rsid w:val="0076798A"/>
    <w:rsid w:val="00776B66"/>
    <w:rsid w:val="007818F1"/>
    <w:rsid w:val="00791927"/>
    <w:rsid w:val="0079239A"/>
    <w:rsid w:val="00792EDD"/>
    <w:rsid w:val="007A0E80"/>
    <w:rsid w:val="007A337B"/>
    <w:rsid w:val="007A4097"/>
    <w:rsid w:val="007B3A8B"/>
    <w:rsid w:val="007B4E38"/>
    <w:rsid w:val="007C6B78"/>
    <w:rsid w:val="007C718E"/>
    <w:rsid w:val="007D0186"/>
    <w:rsid w:val="007D268F"/>
    <w:rsid w:val="007D3387"/>
    <w:rsid w:val="007D60E5"/>
    <w:rsid w:val="007E2BE2"/>
    <w:rsid w:val="007E394E"/>
    <w:rsid w:val="007E4305"/>
    <w:rsid w:val="007E43E6"/>
    <w:rsid w:val="007E5C46"/>
    <w:rsid w:val="00800780"/>
    <w:rsid w:val="00802D35"/>
    <w:rsid w:val="00806D41"/>
    <w:rsid w:val="008148AD"/>
    <w:rsid w:val="008236D6"/>
    <w:rsid w:val="00826F24"/>
    <w:rsid w:val="008369AE"/>
    <w:rsid w:val="0084039D"/>
    <w:rsid w:val="00854EF1"/>
    <w:rsid w:val="0086059A"/>
    <w:rsid w:val="00864D47"/>
    <w:rsid w:val="008718AE"/>
    <w:rsid w:val="00874B34"/>
    <w:rsid w:val="00874F1F"/>
    <w:rsid w:val="008763EB"/>
    <w:rsid w:val="00877021"/>
    <w:rsid w:val="008832CB"/>
    <w:rsid w:val="00883E4A"/>
    <w:rsid w:val="00885C01"/>
    <w:rsid w:val="00886E6A"/>
    <w:rsid w:val="008A5795"/>
    <w:rsid w:val="008A636D"/>
    <w:rsid w:val="008A678B"/>
    <w:rsid w:val="008A7EAA"/>
    <w:rsid w:val="008B54FD"/>
    <w:rsid w:val="008B643A"/>
    <w:rsid w:val="008C1100"/>
    <w:rsid w:val="008C35AA"/>
    <w:rsid w:val="008C364D"/>
    <w:rsid w:val="008E569D"/>
    <w:rsid w:val="008F4A26"/>
    <w:rsid w:val="008F53E2"/>
    <w:rsid w:val="00901232"/>
    <w:rsid w:val="00904364"/>
    <w:rsid w:val="009063B2"/>
    <w:rsid w:val="00916C5C"/>
    <w:rsid w:val="00917116"/>
    <w:rsid w:val="009231FF"/>
    <w:rsid w:val="00923DE4"/>
    <w:rsid w:val="00934DC7"/>
    <w:rsid w:val="0094794E"/>
    <w:rsid w:val="00956118"/>
    <w:rsid w:val="00964327"/>
    <w:rsid w:val="009678CA"/>
    <w:rsid w:val="00975706"/>
    <w:rsid w:val="0097738A"/>
    <w:rsid w:val="009815AA"/>
    <w:rsid w:val="0098385D"/>
    <w:rsid w:val="00985055"/>
    <w:rsid w:val="009857C1"/>
    <w:rsid w:val="00995CC4"/>
    <w:rsid w:val="009961E6"/>
    <w:rsid w:val="009963C8"/>
    <w:rsid w:val="00997751"/>
    <w:rsid w:val="009B7F8A"/>
    <w:rsid w:val="009C0A6D"/>
    <w:rsid w:val="009D1407"/>
    <w:rsid w:val="009D4FFC"/>
    <w:rsid w:val="009D5F8E"/>
    <w:rsid w:val="009E77F5"/>
    <w:rsid w:val="009E79B0"/>
    <w:rsid w:val="009F04CD"/>
    <w:rsid w:val="009F0524"/>
    <w:rsid w:val="009F1C73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1E79"/>
    <w:rsid w:val="00A82160"/>
    <w:rsid w:val="00A93C88"/>
    <w:rsid w:val="00A97F62"/>
    <w:rsid w:val="00AA4A80"/>
    <w:rsid w:val="00AA6783"/>
    <w:rsid w:val="00AB2038"/>
    <w:rsid w:val="00AB2250"/>
    <w:rsid w:val="00AB51A1"/>
    <w:rsid w:val="00AD00C1"/>
    <w:rsid w:val="00AD0B8A"/>
    <w:rsid w:val="00AE4610"/>
    <w:rsid w:val="00AE4DC5"/>
    <w:rsid w:val="00AE612A"/>
    <w:rsid w:val="00AF0DA0"/>
    <w:rsid w:val="00AF0DDB"/>
    <w:rsid w:val="00AF4E5C"/>
    <w:rsid w:val="00B01868"/>
    <w:rsid w:val="00B03143"/>
    <w:rsid w:val="00B17BAF"/>
    <w:rsid w:val="00B21DBF"/>
    <w:rsid w:val="00B3293B"/>
    <w:rsid w:val="00B409B4"/>
    <w:rsid w:val="00B42AB1"/>
    <w:rsid w:val="00B47BCD"/>
    <w:rsid w:val="00B558BF"/>
    <w:rsid w:val="00B55FED"/>
    <w:rsid w:val="00B625D7"/>
    <w:rsid w:val="00B74D52"/>
    <w:rsid w:val="00B849E9"/>
    <w:rsid w:val="00B91FC1"/>
    <w:rsid w:val="00B92933"/>
    <w:rsid w:val="00B94119"/>
    <w:rsid w:val="00B95988"/>
    <w:rsid w:val="00BB1DA3"/>
    <w:rsid w:val="00BB7292"/>
    <w:rsid w:val="00BC0798"/>
    <w:rsid w:val="00BC275B"/>
    <w:rsid w:val="00BC36D3"/>
    <w:rsid w:val="00BC4CF2"/>
    <w:rsid w:val="00BC602D"/>
    <w:rsid w:val="00BC6D14"/>
    <w:rsid w:val="00BD1F5A"/>
    <w:rsid w:val="00BD78A2"/>
    <w:rsid w:val="00BE2C76"/>
    <w:rsid w:val="00BF0025"/>
    <w:rsid w:val="00BF301C"/>
    <w:rsid w:val="00BF43BB"/>
    <w:rsid w:val="00C00472"/>
    <w:rsid w:val="00C0325D"/>
    <w:rsid w:val="00C075DD"/>
    <w:rsid w:val="00C12255"/>
    <w:rsid w:val="00C21F13"/>
    <w:rsid w:val="00C326BB"/>
    <w:rsid w:val="00C46204"/>
    <w:rsid w:val="00C500F8"/>
    <w:rsid w:val="00C52734"/>
    <w:rsid w:val="00C557BE"/>
    <w:rsid w:val="00C62F7E"/>
    <w:rsid w:val="00C65048"/>
    <w:rsid w:val="00C6668E"/>
    <w:rsid w:val="00C70975"/>
    <w:rsid w:val="00C713E9"/>
    <w:rsid w:val="00C7296D"/>
    <w:rsid w:val="00C76121"/>
    <w:rsid w:val="00C91D58"/>
    <w:rsid w:val="00C92062"/>
    <w:rsid w:val="00C96C94"/>
    <w:rsid w:val="00CA5E63"/>
    <w:rsid w:val="00CA688F"/>
    <w:rsid w:val="00CB1821"/>
    <w:rsid w:val="00CB436F"/>
    <w:rsid w:val="00CD2B32"/>
    <w:rsid w:val="00CD3C9C"/>
    <w:rsid w:val="00CE1ADB"/>
    <w:rsid w:val="00CE2E3B"/>
    <w:rsid w:val="00CE6A47"/>
    <w:rsid w:val="00CF1D41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732D"/>
    <w:rsid w:val="00D30798"/>
    <w:rsid w:val="00D31A4F"/>
    <w:rsid w:val="00D32932"/>
    <w:rsid w:val="00D36144"/>
    <w:rsid w:val="00D42786"/>
    <w:rsid w:val="00D54069"/>
    <w:rsid w:val="00D574B4"/>
    <w:rsid w:val="00D5785A"/>
    <w:rsid w:val="00D75E02"/>
    <w:rsid w:val="00D848DD"/>
    <w:rsid w:val="00D90B49"/>
    <w:rsid w:val="00D90EAF"/>
    <w:rsid w:val="00D95893"/>
    <w:rsid w:val="00D95BEA"/>
    <w:rsid w:val="00D96ABD"/>
    <w:rsid w:val="00DA2319"/>
    <w:rsid w:val="00DA36AB"/>
    <w:rsid w:val="00DC2F1F"/>
    <w:rsid w:val="00DC5FC0"/>
    <w:rsid w:val="00DC79C0"/>
    <w:rsid w:val="00DD1B0B"/>
    <w:rsid w:val="00DD59FA"/>
    <w:rsid w:val="00DD6E6F"/>
    <w:rsid w:val="00DE20CB"/>
    <w:rsid w:val="00DE2339"/>
    <w:rsid w:val="00DF4B2B"/>
    <w:rsid w:val="00DF6213"/>
    <w:rsid w:val="00E000E9"/>
    <w:rsid w:val="00E00904"/>
    <w:rsid w:val="00E02CB4"/>
    <w:rsid w:val="00E10370"/>
    <w:rsid w:val="00E106DB"/>
    <w:rsid w:val="00E127F6"/>
    <w:rsid w:val="00E13867"/>
    <w:rsid w:val="00E15B81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7ECF"/>
    <w:rsid w:val="00E77F5A"/>
    <w:rsid w:val="00E82FCC"/>
    <w:rsid w:val="00E86DD5"/>
    <w:rsid w:val="00E91DBE"/>
    <w:rsid w:val="00E955E3"/>
    <w:rsid w:val="00E96868"/>
    <w:rsid w:val="00EA7EAC"/>
    <w:rsid w:val="00EB50AF"/>
    <w:rsid w:val="00EB5E3C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F01506"/>
    <w:rsid w:val="00F0389E"/>
    <w:rsid w:val="00F0457E"/>
    <w:rsid w:val="00F067D4"/>
    <w:rsid w:val="00F14943"/>
    <w:rsid w:val="00F15181"/>
    <w:rsid w:val="00F1601A"/>
    <w:rsid w:val="00F21324"/>
    <w:rsid w:val="00F32911"/>
    <w:rsid w:val="00F35DA2"/>
    <w:rsid w:val="00F513A2"/>
    <w:rsid w:val="00F57551"/>
    <w:rsid w:val="00F60636"/>
    <w:rsid w:val="00F621F4"/>
    <w:rsid w:val="00F627F5"/>
    <w:rsid w:val="00F62C4F"/>
    <w:rsid w:val="00F66D08"/>
    <w:rsid w:val="00F70234"/>
    <w:rsid w:val="00F82A73"/>
    <w:rsid w:val="00F82DD8"/>
    <w:rsid w:val="00FA0BAB"/>
    <w:rsid w:val="00FA329A"/>
    <w:rsid w:val="00FA3CA6"/>
    <w:rsid w:val="00FA4BB2"/>
    <w:rsid w:val="00FB1568"/>
    <w:rsid w:val="00FB1D36"/>
    <w:rsid w:val="00FB2C5C"/>
    <w:rsid w:val="00FD03DC"/>
    <w:rsid w:val="00FD5127"/>
    <w:rsid w:val="00FD5AF5"/>
    <w:rsid w:val="00FD5DD8"/>
    <w:rsid w:val="00FD7CAD"/>
    <w:rsid w:val="00FE628C"/>
    <w:rsid w:val="00FE6BD1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5C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E615C"/>
    <w:pPr>
      <w:keepNext/>
      <w:keepLines/>
      <w:pBdr>
        <w:bottom w:val="thickThinSmallGap" w:sz="24" w:space="2" w:color="D0CECE" w:themeColor="background2" w:themeShade="E6"/>
      </w:pBdr>
      <w:spacing w:before="120" w:line="240" w:lineRule="auto"/>
      <w:outlineLvl w:val="0"/>
    </w:pPr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0E615C"/>
    <w:pPr>
      <w:pBdr>
        <w:bottom w:val="none" w:sz="0" w:space="0" w:color="auto"/>
      </w:pBdr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6A270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E615C"/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0E615C"/>
    <w:rPr>
      <w:rFonts w:eastAsiaTheme="majorEastAsia" w:cstheme="majorBidi"/>
      <w:b/>
      <w:bCs/>
      <w:color w:val="262626" w:themeColor="text1" w:themeTint="D9"/>
      <w:sz w:val="28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character" w:styleId="Refdecomentrio">
    <w:name w:val="annotation reference"/>
    <w:basedOn w:val="Fontepargpadro"/>
    <w:uiPriority w:val="99"/>
    <w:semiHidden/>
    <w:unhideWhenUsed/>
    <w:rsid w:val="009838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8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8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8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8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85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D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brauliosouza@tjrj.jus.br" TargetMode="External"/><Relationship Id="rId26" Type="http://schemas.openxmlformats.org/officeDocument/2006/relationships/hyperlink" Target="https://portaltj.tjrj.jus.br/documents/10136/310826/RAD-DGTEC-017-REV-10.pdf" TargetMode="External"/><Relationship Id="rId39" Type="http://schemas.openxmlformats.org/officeDocument/2006/relationships/header" Target="header4.xml"/><Relationship Id="rId21" Type="http://schemas.openxmlformats.org/officeDocument/2006/relationships/hyperlink" Target="mailto:deatesecretaria@tjrj.jus.br" TargetMode="External"/><Relationship Id="rId34" Type="http://schemas.openxmlformats.org/officeDocument/2006/relationships/hyperlink" Target="https://portaltj.tjrj.jus.br/documents/10136/2387242/RAD-DGTEC-042-REV-0.pdf" TargetMode="External"/><Relationship Id="rId42" Type="http://schemas.openxmlformats.org/officeDocument/2006/relationships/image" Target="media/image6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javascript:siga.exibirMensagemAlerta('RAD-DGTEC-026','Em%20Revis%C3%A3o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rafaelalves@tjrj.jus.br" TargetMode="External"/><Relationship Id="rId32" Type="http://schemas.openxmlformats.org/officeDocument/2006/relationships/hyperlink" Target="https://portaltj.tjrj.jus.br/documents/10136/1621935/RAD-DGTEC-040-REV-4.pdf" TargetMode="External"/><Relationship Id="rId37" Type="http://schemas.openxmlformats.org/officeDocument/2006/relationships/image" Target="media/image5.png"/><Relationship Id="rId40" Type="http://schemas.openxmlformats.org/officeDocument/2006/relationships/footer" Target="footer3.xm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agbarros@tjrj.jus.br" TargetMode="External"/><Relationship Id="rId28" Type="http://schemas.openxmlformats.org/officeDocument/2006/relationships/hyperlink" Target="https://portaltj.tjrj.jus.br/documents/10136/310842/RAD-DGTEC-021-REV-15.pdf" TargetMode="External"/><Relationship Id="rId36" Type="http://schemas.openxmlformats.org/officeDocument/2006/relationships/hyperlink" Target="https://portaltj.tjrj.jus.br/documents/10136/7364841/RAD-SGTEC-044-REV-1.pdf" TargetMode="External"/><Relationship Id="rId10" Type="http://schemas.openxmlformats.org/officeDocument/2006/relationships/hyperlink" Target="mailto:sgtec@tjrj.jus.br" TargetMode="External"/><Relationship Id="rId19" Type="http://schemas.openxmlformats.org/officeDocument/2006/relationships/hyperlink" Target="https://www.tjrj.jus.br/web/guest/institucional/secretarias-gerais/sgtec/detic" TargetMode="External"/><Relationship Id="rId31" Type="http://schemas.openxmlformats.org/officeDocument/2006/relationships/hyperlink" Target="https://portaltj.tjrj.jus.br/documents/10136/1311243/RAD-DGTEC-039-REV-1.pdf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guest/institucional/secretarias-gerais/sgtec" TargetMode="External"/><Relationship Id="rId14" Type="http://schemas.openxmlformats.org/officeDocument/2006/relationships/footer" Target="footer2.xml"/><Relationship Id="rId22" Type="http://schemas.openxmlformats.org/officeDocument/2006/relationships/hyperlink" Target="mailto:desis.secretaria@tjrj.jus.br" TargetMode="External"/><Relationship Id="rId27" Type="http://schemas.openxmlformats.org/officeDocument/2006/relationships/hyperlink" Target="https://portaltj.tjrj.jus.br/documents/10136/310834/RAD-DGTEC-018-REV-11.pdf" TargetMode="External"/><Relationship Id="rId30" Type="http://schemas.openxmlformats.org/officeDocument/2006/relationships/hyperlink" Target="https://portaltj.tjrj.jus.br/documents/10136/1165824/RAD-DGTEC-038-REV-2.pdf" TargetMode="External"/><Relationship Id="rId35" Type="http://schemas.openxmlformats.org/officeDocument/2006/relationships/hyperlink" Target="https://portaltj.tjrj.jus.br/documents/10136/5875994/RAD-DGTEC-043-REV-0.pdf" TargetMode="External"/><Relationship Id="rId43" Type="http://schemas.openxmlformats.org/officeDocument/2006/relationships/header" Target="header5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sgtec@tjrj.jus.br" TargetMode="External"/><Relationship Id="rId25" Type="http://schemas.openxmlformats.org/officeDocument/2006/relationships/hyperlink" Target="https://portaltj.tjrj.jus.br/documents/10136/310729/RAD-DGTEC-003-REV-12.pdf" TargetMode="External"/><Relationship Id="rId33" Type="http://schemas.openxmlformats.org/officeDocument/2006/relationships/hyperlink" Target="https://portaltj.tjrj.jus.br/documents/10136/1879304/RAD-DGTEC-041-REV-1.pdf" TargetMode="External"/><Relationship Id="rId38" Type="http://schemas.openxmlformats.org/officeDocument/2006/relationships/hyperlink" Target="https://www.tjrj.jus.br/web/guest/institucional/secretarias-gerais/sgtec/detic" TargetMode="External"/><Relationship Id="rId46" Type="http://schemas.openxmlformats.org/officeDocument/2006/relationships/footer" Target="footer6.xml"/><Relationship Id="rId20" Type="http://schemas.openxmlformats.org/officeDocument/2006/relationships/hyperlink" Target="mailto:detic.asse@tjrj.jus.br" TargetMode="External"/><Relationship Id="rId41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cid:image001.png@01CF1C61.40DFADC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A01A-306C-418A-8B39-59A64EE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5062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Jeferson Guimaraes Soares</cp:lastModifiedBy>
  <cp:revision>8</cp:revision>
  <cp:lastPrinted>2024-05-13T20:15:00Z</cp:lastPrinted>
  <dcterms:created xsi:type="dcterms:W3CDTF">2024-05-13T20:43:00Z</dcterms:created>
  <dcterms:modified xsi:type="dcterms:W3CDTF">2024-05-14T15:31:00Z</dcterms:modified>
</cp:coreProperties>
</file>